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50348" w14:textId="7E4C0D29" w:rsidR="00270181" w:rsidRPr="00AF4297" w:rsidRDefault="00270181" w:rsidP="00DB1B17">
      <w:pPr>
        <w:rPr>
          <w:rFonts w:ascii="Calibri" w:hAnsi="Calibri" w:cs="Calibri"/>
          <w:b/>
          <w:bCs/>
          <w:lang w:val="de-DE"/>
        </w:rPr>
      </w:pPr>
      <w:r w:rsidRPr="00AF4297">
        <w:rPr>
          <w:rFonts w:ascii="Calibri" w:hAnsi="Calibri" w:cs="Calibri"/>
          <w:b/>
          <w:bCs/>
          <w:lang w:val="de-DE"/>
        </w:rPr>
        <w:t xml:space="preserve">GerDa – Wirtschaftsfall Colocarton A/S – </w:t>
      </w:r>
      <w:r w:rsidR="000B6186" w:rsidRPr="000B6186">
        <w:rPr>
          <w:rFonts w:ascii="Calibri" w:hAnsi="Calibri" w:cs="Calibri"/>
          <w:b/>
          <w:bCs/>
          <w:lang w:val="de-DE"/>
        </w:rPr>
        <w:t>Didaktische Reflexion</w:t>
      </w:r>
    </w:p>
    <w:p w14:paraId="498ADCEF" w14:textId="77777777" w:rsidR="00F769F9" w:rsidRPr="00AF4297" w:rsidRDefault="00F769F9" w:rsidP="00DB1B17">
      <w:pPr>
        <w:rPr>
          <w:rFonts w:ascii="Calibri" w:hAnsi="Calibri" w:cs="Calibri"/>
          <w:lang w:val="de-DE"/>
        </w:rPr>
      </w:pPr>
    </w:p>
    <w:p w14:paraId="6A6DBA8A" w14:textId="11F044C4" w:rsidR="00F769F9" w:rsidRPr="00F769F9" w:rsidRDefault="00F769F9" w:rsidP="00DB1B17">
      <w:pPr>
        <w:rPr>
          <w:rFonts w:ascii="Calibri" w:hAnsi="Calibri" w:cs="Calibri"/>
          <w:lang w:val="en-US"/>
        </w:rPr>
      </w:pPr>
      <w:r w:rsidRPr="00F769F9">
        <w:rPr>
          <w:rFonts w:ascii="Calibri" w:hAnsi="Calibri" w:cs="Calibri"/>
          <w:lang w:val="en-US"/>
        </w:rPr>
        <w:t>Erstellt von Jan Meincke, Fredericia College of Marine and Technical Engineering (FMS) </w:t>
      </w:r>
    </w:p>
    <w:p w14:paraId="03C925D2" w14:textId="77777777" w:rsidR="008D035E" w:rsidRPr="00F769F9" w:rsidRDefault="008D035E" w:rsidP="00DB1B17">
      <w:pPr>
        <w:rPr>
          <w:rFonts w:ascii="Calibri" w:hAnsi="Calibri" w:cs="Calibri"/>
          <w:u w:val="single"/>
          <w:lang w:val="en-US"/>
        </w:rPr>
      </w:pPr>
    </w:p>
    <w:p w14:paraId="15DB0FD6" w14:textId="5483627A" w:rsidR="008D035E" w:rsidRPr="00AF4297" w:rsidRDefault="008D035E" w:rsidP="008D035E">
      <w:pPr>
        <w:jc w:val="both"/>
        <w:rPr>
          <w:rFonts w:ascii="Calibri" w:hAnsi="Calibri" w:cs="Calibri"/>
          <w:lang w:val="de-DE"/>
        </w:rPr>
      </w:pPr>
      <w:r w:rsidRPr="00AF4297">
        <w:rPr>
          <w:rFonts w:ascii="Calibri" w:hAnsi="Calibri" w:cs="Calibri"/>
          <w:lang w:val="de-DE"/>
        </w:rPr>
        <w:t xml:space="preserve">Die Fallzuweisung wurde im Hinblick auf die Relevanz für das 8. Semester des Studiengangs Marine und Meerestechnik in Wirtschaftswissenschaften und ausgewählte Themen, die im Fach </w:t>
      </w:r>
      <w:r w:rsidRPr="00AF4297">
        <w:rPr>
          <w:rFonts w:ascii="Calibri" w:hAnsi="Calibri" w:cs="Calibri"/>
          <w:i/>
          <w:iCs/>
          <w:lang w:val="de-DE"/>
        </w:rPr>
        <w:t>Organisation</w:t>
      </w:r>
      <w:r w:rsidRPr="00AF4297">
        <w:rPr>
          <w:rFonts w:ascii="Calibri" w:hAnsi="Calibri" w:cs="Calibri"/>
          <w:i/>
          <w:iCs/>
          <w:vertAlign w:val="superscript"/>
          <w:lang w:val="de-DE"/>
        </w:rPr>
        <w:t>1</w:t>
      </w:r>
      <w:r w:rsidRPr="00AF4297">
        <w:rPr>
          <w:rFonts w:ascii="Calibri" w:hAnsi="Calibri" w:cs="Calibri"/>
          <w:i/>
          <w:iCs/>
          <w:lang w:val="de-DE"/>
        </w:rPr>
        <w:t xml:space="preserve"> </w:t>
      </w:r>
      <w:r w:rsidRPr="00AF4297">
        <w:rPr>
          <w:rFonts w:ascii="Calibri" w:hAnsi="Calibri" w:cs="Calibri"/>
          <w:lang w:val="de-DE"/>
        </w:rPr>
        <w:t>vorkommen, erstellt. Für die Lösung der Aufgabenstellung werden Elemente/Kenntnisse sowohl aus dem Energie- &amp; Umwelt- als auch aus dem Instandhaltungsmanagement zur Verfügung stehen, die im 6. Semester absolviert werden und die in der Arbeit mit der Lösung der Aufgabe nutzbringend eingesetzt werden können. Es verbindet wirtschaftliche, ökologische, technische und strategische Elemente auf eine Weise, die es praktisch und motivierend macht. Die Studierenden können somit von der Wiederholung der Lernziele für die Lehrveranstaltungen Energie- &amp; Umweltwirtschaft und Instandhaltungsmanagement, 6. Semester, profitieren.</w:t>
      </w:r>
    </w:p>
    <w:p w14:paraId="1A78582A" w14:textId="77777777" w:rsidR="008D035E" w:rsidRPr="00AF4297" w:rsidRDefault="008D035E" w:rsidP="00DB1B17">
      <w:pPr>
        <w:rPr>
          <w:rFonts w:ascii="Calibri" w:hAnsi="Calibri" w:cs="Calibri"/>
          <w:u w:val="single"/>
          <w:lang w:val="de-DE"/>
        </w:rPr>
      </w:pPr>
    </w:p>
    <w:p w14:paraId="436BCBDB" w14:textId="56BC8CF4" w:rsidR="00DB1B17" w:rsidRPr="00AF4297" w:rsidRDefault="005E428E" w:rsidP="00DB1B17">
      <w:pPr>
        <w:rPr>
          <w:rFonts w:ascii="Calibri" w:hAnsi="Calibri" w:cs="Calibri"/>
          <w:u w:val="single"/>
          <w:lang w:val="de-DE"/>
        </w:rPr>
      </w:pPr>
      <w:r w:rsidRPr="00AF4297">
        <w:rPr>
          <w:rFonts w:ascii="Calibri" w:hAnsi="Calibri" w:cs="Calibri"/>
          <w:u w:val="single"/>
          <w:lang w:val="de-DE"/>
        </w:rPr>
        <w:t>Der übergeordnete Zweck der Aufgabe</w:t>
      </w:r>
    </w:p>
    <w:p w14:paraId="19785D37" w14:textId="40F2A5FB" w:rsidR="00DB1B17" w:rsidRPr="00AF4297" w:rsidRDefault="00DB1B17" w:rsidP="00DB1BC2">
      <w:pPr>
        <w:jc w:val="both"/>
        <w:rPr>
          <w:rFonts w:ascii="Calibri" w:hAnsi="Calibri" w:cs="Calibri"/>
          <w:lang w:val="de-DE"/>
        </w:rPr>
      </w:pPr>
      <w:r w:rsidRPr="00AF4297">
        <w:rPr>
          <w:rFonts w:ascii="Calibri" w:hAnsi="Calibri" w:cs="Calibri"/>
          <w:lang w:val="de-DE"/>
        </w:rPr>
        <w:t xml:space="preserve">Der übergeordnete Zweck der Arbeit besteht darin, theoretische Anlagemodelle mit praxisorientierten Überlegungen zu Wirtschaft, </w:t>
      </w:r>
      <w:r w:rsidR="00270181" w:rsidRPr="00AF4297">
        <w:rPr>
          <w:rFonts w:ascii="Calibri" w:hAnsi="Calibri" w:cs="Calibri"/>
          <w:i/>
          <w:iCs/>
          <w:lang w:val="de-DE"/>
        </w:rPr>
        <w:t>Organisation</w:t>
      </w:r>
      <w:r w:rsidR="008D035E">
        <w:rPr>
          <w:rStyle w:val="Fodnotehenvisning"/>
          <w:rFonts w:ascii="Calibri" w:hAnsi="Calibri" w:cs="Calibri"/>
          <w:i/>
          <w:iCs/>
        </w:rPr>
        <w:footnoteReference w:id="1"/>
      </w:r>
      <w:r w:rsidR="00270181" w:rsidRPr="00AF4297">
        <w:rPr>
          <w:rFonts w:ascii="Calibri" w:hAnsi="Calibri" w:cs="Calibri"/>
          <w:i/>
          <w:iCs/>
          <w:lang w:val="de-DE"/>
        </w:rPr>
        <w:t xml:space="preserve">, </w:t>
      </w:r>
      <w:r w:rsidRPr="00AF4297">
        <w:rPr>
          <w:rFonts w:ascii="Calibri" w:hAnsi="Calibri" w:cs="Calibri"/>
          <w:lang w:val="de-DE"/>
        </w:rPr>
        <w:t>Nachhaltigkeit (einschließlich der 17 Ziele für nachhaltige Entwicklung der UN), Umwelt und Strategie zu verknüpfen. Durch die Arbeit an der Lösung der Aufgabenstellung wird der Studierende in der Lage sein, ein Verständnis für den Zusammenhang zwischen ökonomischen Berechnungen, Investitionsökonomik, technischen Berechnungen und qualitativen Bewertungen zu erlangen, hier auf der Grundlage von ESG und Nachhaltigkeit, wobei Werkzeuge und Modelle in der externen strategischen Analyse ins Spiel gebracht werden, hier mit besonderem Fokus auf die externen strategischen Analysemethoden PESTLE und Porter's 5 Forces.</w:t>
      </w:r>
    </w:p>
    <w:p w14:paraId="399CB37D" w14:textId="77777777" w:rsidR="0034730B" w:rsidRPr="00AF4297" w:rsidRDefault="0034730B" w:rsidP="00DB1BC2">
      <w:pPr>
        <w:jc w:val="both"/>
        <w:rPr>
          <w:rFonts w:ascii="Calibri" w:hAnsi="Calibri" w:cs="Calibri"/>
          <w:u w:val="single"/>
          <w:lang w:val="de-DE"/>
        </w:rPr>
      </w:pPr>
    </w:p>
    <w:p w14:paraId="4B9E9834" w14:textId="77777777" w:rsidR="00DB1B17" w:rsidRPr="00AF4297" w:rsidRDefault="00DB1B17" w:rsidP="00DB1BC2">
      <w:pPr>
        <w:jc w:val="both"/>
        <w:rPr>
          <w:rFonts w:ascii="Calibri" w:hAnsi="Calibri" w:cs="Calibri"/>
          <w:u w:val="single"/>
          <w:lang w:val="de-DE"/>
        </w:rPr>
      </w:pPr>
      <w:r w:rsidRPr="00AF4297">
        <w:rPr>
          <w:rFonts w:ascii="Calibri" w:hAnsi="Calibri" w:cs="Calibri"/>
          <w:u w:val="single"/>
          <w:lang w:val="de-DE"/>
        </w:rPr>
        <w:t xml:space="preserve">Relevanz </w:t>
      </w:r>
    </w:p>
    <w:p w14:paraId="1E41DBE8" w14:textId="77777777" w:rsidR="00DB1B17" w:rsidRPr="00AF4297" w:rsidRDefault="00DB1B17" w:rsidP="00DB1BC2">
      <w:pPr>
        <w:jc w:val="both"/>
        <w:rPr>
          <w:rFonts w:ascii="Calibri" w:hAnsi="Calibri" w:cs="Calibri"/>
          <w:lang w:val="de-DE"/>
        </w:rPr>
      </w:pPr>
      <w:r w:rsidRPr="00AF4297">
        <w:rPr>
          <w:rFonts w:ascii="Calibri" w:hAnsi="Calibri" w:cs="Calibri"/>
          <w:lang w:val="de-DE"/>
        </w:rPr>
        <w:t>Der Auftrag basiert auf einem realistischen Fall, Colocarton A/S, und bildet die Grundlage für aktuelle Nachhaltigkeitsthemen wie Abschnitt 99 des dänischen Rechnungsabschlussgesetzes (CSRD), ESG und die 17 Ziele für nachhaltige Entwicklung der Vereinten Nationen. Sie muss dazu beitragen, die Aufgabe sowohl ansprechend als auch praxisorientiert zu gestalten und ein Verständnis für Zusammenhänge zu schaffen.</w:t>
      </w:r>
    </w:p>
    <w:p w14:paraId="5F9E2507" w14:textId="77777777" w:rsidR="00270181" w:rsidRPr="00AF4297" w:rsidRDefault="00270181" w:rsidP="00DB1BC2">
      <w:pPr>
        <w:jc w:val="both"/>
        <w:rPr>
          <w:rFonts w:ascii="Calibri" w:hAnsi="Calibri" w:cs="Calibri"/>
          <w:lang w:val="de-DE"/>
        </w:rPr>
      </w:pPr>
    </w:p>
    <w:p w14:paraId="50FF5DE6" w14:textId="77777777" w:rsidR="00DB1B17" w:rsidRPr="00AF4297" w:rsidRDefault="00DB1BC2" w:rsidP="00DB1BC2">
      <w:pPr>
        <w:jc w:val="both"/>
        <w:rPr>
          <w:rFonts w:ascii="Calibri" w:hAnsi="Calibri" w:cs="Calibri"/>
          <w:u w:val="single"/>
          <w:lang w:val="de-DE"/>
        </w:rPr>
      </w:pPr>
      <w:r w:rsidRPr="00AF4297">
        <w:rPr>
          <w:rFonts w:ascii="Calibri" w:hAnsi="Calibri" w:cs="Calibri"/>
          <w:u w:val="single"/>
          <w:lang w:val="de-DE"/>
        </w:rPr>
        <w:lastRenderedPageBreak/>
        <w:t>Ansatz zur ganzheitlichen Aufgabenlösung</w:t>
      </w:r>
    </w:p>
    <w:p w14:paraId="6FC23105" w14:textId="77777777" w:rsidR="00DB1B17" w:rsidRPr="00AF4297" w:rsidRDefault="00DB1BC2" w:rsidP="00DB1BC2">
      <w:pPr>
        <w:jc w:val="both"/>
        <w:rPr>
          <w:rFonts w:ascii="Calibri" w:hAnsi="Calibri" w:cs="Calibri"/>
          <w:lang w:val="de-DE"/>
        </w:rPr>
      </w:pPr>
      <w:r w:rsidRPr="00AF4297">
        <w:rPr>
          <w:rFonts w:ascii="Calibri" w:hAnsi="Calibri" w:cs="Calibri"/>
          <w:lang w:val="de-DE"/>
        </w:rPr>
        <w:t>Die Fallzuordnung geht über die traditionelle Anlageanalyse hinaus, indem sie externe Faktoren wie PESTLE, Wettbewerbsbedingungen (Porter's 5 Forces) und die dritte Quintessenz (People, Planet, Profit) einbezieht. Dies gibt den Studierenden die Möglichkeit, mit komplexeren Anlageentscheidungen in einem breiteren Kontext zu arbeiten und damit die Voraussetzungen dafür zu schaffen, diese zu verstehen. Ebenso erhalten die Studierenden einen Einblick in die Tatsache, dass ein Investment Case isoliert betrachtet mehr als nur technische Lösungen enthält.</w:t>
      </w:r>
    </w:p>
    <w:p w14:paraId="07DF7F50" w14:textId="77777777" w:rsidR="0034730B" w:rsidRPr="00AF4297" w:rsidRDefault="0034730B" w:rsidP="00DB1B17">
      <w:pPr>
        <w:rPr>
          <w:rFonts w:ascii="Calibri" w:hAnsi="Calibri" w:cs="Calibri"/>
          <w:u w:val="single"/>
          <w:lang w:val="de-DE"/>
        </w:rPr>
      </w:pPr>
    </w:p>
    <w:p w14:paraId="2423C228" w14:textId="77777777" w:rsidR="00DB1B17" w:rsidRPr="00AF4297" w:rsidRDefault="00DB1B17" w:rsidP="00DB1B17">
      <w:pPr>
        <w:rPr>
          <w:rFonts w:ascii="Calibri" w:hAnsi="Calibri" w:cs="Calibri"/>
          <w:u w:val="single"/>
          <w:lang w:val="de-DE"/>
        </w:rPr>
      </w:pPr>
      <w:r w:rsidRPr="00AF4297">
        <w:rPr>
          <w:rFonts w:ascii="Calibri" w:hAnsi="Calibri" w:cs="Calibri"/>
          <w:u w:val="single"/>
          <w:lang w:val="de-DE"/>
        </w:rPr>
        <w:t>Pädagogische und didaktische Überlegungen</w:t>
      </w:r>
    </w:p>
    <w:p w14:paraId="0ADC44D0" w14:textId="77777777" w:rsidR="00DB1B17" w:rsidRPr="00AF4297" w:rsidRDefault="00DB1B17" w:rsidP="0049715A">
      <w:pPr>
        <w:rPr>
          <w:rFonts w:ascii="Calibri" w:hAnsi="Calibri" w:cs="Calibri"/>
          <w:lang w:val="de-DE"/>
        </w:rPr>
      </w:pPr>
      <w:r w:rsidRPr="00AF4297">
        <w:rPr>
          <w:rFonts w:ascii="Calibri" w:hAnsi="Calibri" w:cs="Calibri"/>
          <w:lang w:val="de-DE"/>
        </w:rPr>
        <w:t>Problemorientiertes Lernen auf Basis von Case Colocarton A/S</w:t>
      </w:r>
    </w:p>
    <w:p w14:paraId="3F488F98" w14:textId="77777777" w:rsidR="0049715A" w:rsidRPr="00AF4297" w:rsidRDefault="00DB1B17" w:rsidP="0049715A">
      <w:pPr>
        <w:jc w:val="both"/>
        <w:rPr>
          <w:rFonts w:ascii="Calibri" w:hAnsi="Calibri" w:cs="Calibri"/>
          <w:lang w:val="de-DE"/>
        </w:rPr>
      </w:pPr>
      <w:r w:rsidRPr="00AF4297">
        <w:rPr>
          <w:rFonts w:ascii="Calibri" w:hAnsi="Calibri" w:cs="Calibri"/>
          <w:lang w:val="de-DE"/>
        </w:rPr>
        <w:t>Die Aufgabenstellung unterstützt ein problembasiertes Lernmodell, bei dem die Studierenden in Gruppen mit einem konkreten Fall (Colocarton A/S) arbeiten und so theoretisches Wissen im praxisorientierten Kontext des Falles anwenden. Es hilft, die analytischen, methodischen und problemlösenden Fähigkeiten/Kompetenzen der Studierenden zu stärken (Lernziele), das Ganze und nicht ein enges technisches Problem zu betrachten.</w:t>
      </w:r>
    </w:p>
    <w:p w14:paraId="497AE5FC" w14:textId="77777777" w:rsidR="008D035E" w:rsidRPr="00AF4297" w:rsidRDefault="008D035E" w:rsidP="0049715A">
      <w:pPr>
        <w:jc w:val="both"/>
        <w:rPr>
          <w:rFonts w:ascii="Calibri" w:hAnsi="Calibri" w:cs="Calibri"/>
          <w:u w:val="single"/>
          <w:lang w:val="de-DE"/>
        </w:rPr>
      </w:pPr>
    </w:p>
    <w:p w14:paraId="302D5AC2" w14:textId="4ADE33ED" w:rsidR="00DB1B17" w:rsidRPr="00AF4297" w:rsidRDefault="0049715A" w:rsidP="0049715A">
      <w:pPr>
        <w:jc w:val="both"/>
        <w:rPr>
          <w:rFonts w:ascii="Calibri" w:hAnsi="Calibri" w:cs="Calibri"/>
          <w:u w:val="single"/>
          <w:lang w:val="de-DE"/>
        </w:rPr>
      </w:pPr>
      <w:r w:rsidRPr="00AF4297">
        <w:rPr>
          <w:rFonts w:ascii="Calibri" w:hAnsi="Calibri" w:cs="Calibri"/>
          <w:u w:val="single"/>
          <w:lang w:val="de-DE"/>
        </w:rPr>
        <w:t>Interdisziplinarität</w:t>
      </w:r>
    </w:p>
    <w:p w14:paraId="56FF8178" w14:textId="77777777" w:rsidR="00DB1B17" w:rsidRPr="00AF4297" w:rsidRDefault="00DB1B17" w:rsidP="0049715A">
      <w:pPr>
        <w:rPr>
          <w:rFonts w:ascii="Calibri" w:hAnsi="Calibri" w:cs="Calibri"/>
          <w:lang w:val="de-DE"/>
        </w:rPr>
      </w:pPr>
      <w:r w:rsidRPr="00AF4297">
        <w:rPr>
          <w:rFonts w:ascii="Calibri" w:hAnsi="Calibri" w:cs="Calibri"/>
          <w:lang w:val="de-DE"/>
        </w:rPr>
        <w:t>Durch die Integration von Finanzen, Strategie, Technologie, teilweise Organisation und Nachhaltigkeit erfordert die Aufgabe interdisziplinäres Denken, das für den studierten Schiffsingenieur relevant ist.</w:t>
      </w:r>
    </w:p>
    <w:p w14:paraId="2316ACE4" w14:textId="77777777" w:rsidR="00372EDB" w:rsidRPr="00AF4297" w:rsidRDefault="00372EDB" w:rsidP="0049715A">
      <w:pPr>
        <w:rPr>
          <w:rFonts w:ascii="Calibri" w:hAnsi="Calibri" w:cs="Calibri"/>
          <w:u w:val="single"/>
          <w:lang w:val="de-DE"/>
        </w:rPr>
      </w:pPr>
    </w:p>
    <w:p w14:paraId="37F36791" w14:textId="77777777" w:rsidR="00DB1B17" w:rsidRPr="00AF4297" w:rsidRDefault="00DB1B17" w:rsidP="0049715A">
      <w:pPr>
        <w:rPr>
          <w:rFonts w:ascii="Calibri" w:hAnsi="Calibri" w:cs="Calibri"/>
          <w:u w:val="single"/>
          <w:lang w:val="de-DE"/>
        </w:rPr>
      </w:pPr>
      <w:r w:rsidRPr="00AF4297">
        <w:rPr>
          <w:rFonts w:ascii="Calibri" w:hAnsi="Calibri" w:cs="Calibri"/>
          <w:u w:val="single"/>
          <w:lang w:val="de-DE"/>
        </w:rPr>
        <w:t>Zusammenarbeit in der Gruppe</w:t>
      </w:r>
    </w:p>
    <w:p w14:paraId="0FD8FD1F" w14:textId="77777777" w:rsidR="00DB1B17" w:rsidRPr="00AF4297" w:rsidRDefault="00DB1B17" w:rsidP="0049715A">
      <w:pPr>
        <w:rPr>
          <w:rFonts w:ascii="Calibri" w:hAnsi="Calibri" w:cs="Calibri"/>
          <w:lang w:val="de-DE"/>
        </w:rPr>
      </w:pPr>
      <w:r w:rsidRPr="00AF4297">
        <w:rPr>
          <w:rFonts w:ascii="Calibri" w:hAnsi="Calibri" w:cs="Calibri"/>
          <w:lang w:val="de-DE"/>
        </w:rPr>
        <w:t>Die Gruppenarbeit bietet die Möglichkeit, die Zusammenarbeit zu üben und Raum für fachliche Diskussionen zu schaffen, die durch Peer-Feedback ergänzt werden. Dies dient dazu, die Lernergebnisse und die Fähigkeit zur Zusammenarbeit der Schüler zu stärken.</w:t>
      </w:r>
    </w:p>
    <w:p w14:paraId="127340C4" w14:textId="77777777" w:rsidR="00372EDB" w:rsidRPr="00AF4297" w:rsidRDefault="00372EDB" w:rsidP="0049715A">
      <w:pPr>
        <w:rPr>
          <w:rFonts w:ascii="Calibri" w:hAnsi="Calibri" w:cs="Calibri"/>
          <w:lang w:val="de-DE"/>
        </w:rPr>
      </w:pPr>
    </w:p>
    <w:p w14:paraId="6A886303" w14:textId="77777777" w:rsidR="00DB1B17" w:rsidRPr="00AF4297" w:rsidRDefault="00DB1B17" w:rsidP="0049715A">
      <w:pPr>
        <w:rPr>
          <w:rFonts w:ascii="Calibri" w:hAnsi="Calibri" w:cs="Calibri"/>
          <w:u w:val="single"/>
          <w:lang w:val="de-DE"/>
        </w:rPr>
      </w:pPr>
      <w:r w:rsidRPr="00AF4297">
        <w:rPr>
          <w:rFonts w:ascii="Calibri" w:hAnsi="Calibri" w:cs="Calibri"/>
          <w:u w:val="single"/>
          <w:lang w:val="de-DE"/>
        </w:rPr>
        <w:t>Anwendungsorientiertes Lernen</w:t>
      </w:r>
    </w:p>
    <w:p w14:paraId="0D4B52B1" w14:textId="77777777" w:rsidR="00DB1B17" w:rsidRPr="00AF4297" w:rsidRDefault="00DB1B17" w:rsidP="0049715A">
      <w:pPr>
        <w:rPr>
          <w:rFonts w:ascii="Calibri" w:hAnsi="Calibri" w:cs="Calibri"/>
          <w:lang w:val="de-DE"/>
        </w:rPr>
      </w:pPr>
      <w:r w:rsidRPr="00AF4297">
        <w:rPr>
          <w:rFonts w:ascii="Calibri" w:hAnsi="Calibri" w:cs="Calibri"/>
          <w:lang w:val="de-DE"/>
        </w:rPr>
        <w:t>Die Aufgabenstellung ist sehr anwendungsorientiert und unterstützt den Studierenden dabei, wie die Herangehensweise zur Lösung von Aufgaben/Fällen dieser Art in der zukünftigen Arbeit eingesetzt werden kann, sowie für welche Anforderungen hierfür zu erwarten ist. Bei der Arbeit mit der Lösung der Aufgabe wurde der Schwerpunkt auf die Kommunikation und Verbreitung von Lösungsvorschlägen gelegt, z. B. durch Pitches und/oder Business Cases.</w:t>
      </w:r>
    </w:p>
    <w:p w14:paraId="07D51535" w14:textId="2E633AA4" w:rsidR="00DB1B17" w:rsidRPr="00AF4297" w:rsidRDefault="00DB1B17" w:rsidP="0049715A">
      <w:pPr>
        <w:rPr>
          <w:rFonts w:ascii="Calibri" w:hAnsi="Calibri" w:cs="Calibri"/>
          <w:u w:val="single"/>
          <w:lang w:val="de-DE"/>
        </w:rPr>
      </w:pPr>
      <w:r w:rsidRPr="00AF4297">
        <w:rPr>
          <w:rFonts w:ascii="Calibri" w:hAnsi="Calibri" w:cs="Calibri"/>
          <w:u w:val="single"/>
          <w:lang w:val="de-DE"/>
        </w:rPr>
        <w:lastRenderedPageBreak/>
        <w:t>Bewertung und Feedback</w:t>
      </w:r>
    </w:p>
    <w:p w14:paraId="149B3732" w14:textId="77777777" w:rsidR="00DB1B17" w:rsidRPr="00AF4297" w:rsidRDefault="00DB1B17" w:rsidP="0049715A">
      <w:pPr>
        <w:rPr>
          <w:rFonts w:ascii="Calibri" w:hAnsi="Calibri" w:cs="Calibri"/>
          <w:lang w:val="de-DE"/>
        </w:rPr>
      </w:pPr>
      <w:r w:rsidRPr="00AF4297">
        <w:rPr>
          <w:rFonts w:ascii="Calibri" w:hAnsi="Calibri" w:cs="Calibri"/>
          <w:lang w:val="de-DE"/>
        </w:rPr>
        <w:t>Es kann von Vorteil sein, eine "Beurteilungsmatrix" zu erstellen, damit die Studierenden die Beurteilungskriterien kennen. Die Lösung der Aufgabe kann zum Beispiel danach beurteilt werden:</w:t>
      </w:r>
    </w:p>
    <w:p w14:paraId="21A141B2" w14:textId="77777777" w:rsidR="00DB1B17" w:rsidRPr="00AF4297" w:rsidRDefault="00372EDB" w:rsidP="0049715A">
      <w:pPr>
        <w:ind w:left="2160"/>
        <w:rPr>
          <w:rFonts w:ascii="Calibri" w:hAnsi="Calibri" w:cs="Calibri"/>
          <w:lang w:val="de-DE"/>
        </w:rPr>
      </w:pPr>
      <w:r w:rsidRPr="00AF4297">
        <w:rPr>
          <w:rFonts w:ascii="Calibri" w:hAnsi="Calibri" w:cs="Calibri"/>
          <w:lang w:val="de-DE"/>
        </w:rPr>
        <w:t>die Einschätzung der Studierenden zur Richtigkeit der Berechnungen</w:t>
      </w:r>
    </w:p>
    <w:p w14:paraId="42621CE9" w14:textId="77777777" w:rsidR="00DB1B17" w:rsidRPr="00AF4297" w:rsidRDefault="00372EDB" w:rsidP="0049715A">
      <w:pPr>
        <w:ind w:left="2160"/>
        <w:rPr>
          <w:rFonts w:ascii="Calibri" w:hAnsi="Calibri" w:cs="Calibri"/>
          <w:lang w:val="de-DE"/>
        </w:rPr>
      </w:pPr>
      <w:r w:rsidRPr="00AF4297">
        <w:rPr>
          <w:rFonts w:ascii="Calibri" w:hAnsi="Calibri" w:cs="Calibri"/>
          <w:lang w:val="de-DE"/>
        </w:rPr>
        <w:t>Strategische Analyse und Nachhaltigkeitsbewertung</w:t>
      </w:r>
    </w:p>
    <w:p w14:paraId="48FBE8EA" w14:textId="77777777" w:rsidR="00DB1B17" w:rsidRPr="00AF4297" w:rsidRDefault="00372EDB" w:rsidP="0049715A">
      <w:pPr>
        <w:ind w:left="2160"/>
        <w:rPr>
          <w:rFonts w:ascii="Calibri" w:hAnsi="Calibri" w:cs="Calibri"/>
          <w:lang w:val="de-DE"/>
        </w:rPr>
      </w:pPr>
      <w:r w:rsidRPr="00AF4297">
        <w:rPr>
          <w:rFonts w:ascii="Calibri" w:hAnsi="Calibri" w:cs="Calibri"/>
          <w:lang w:val="de-DE"/>
        </w:rPr>
        <w:t xml:space="preserve">Struktur und Argumentation </w:t>
      </w:r>
    </w:p>
    <w:p w14:paraId="032343C9" w14:textId="77777777" w:rsidR="00372EDB" w:rsidRPr="00AF4297" w:rsidRDefault="00372EDB" w:rsidP="00372EDB">
      <w:pPr>
        <w:ind w:left="2160"/>
        <w:rPr>
          <w:rFonts w:ascii="Calibri" w:hAnsi="Calibri" w:cs="Calibri"/>
          <w:lang w:val="de-DE"/>
        </w:rPr>
      </w:pPr>
      <w:r w:rsidRPr="00AF4297">
        <w:rPr>
          <w:rFonts w:ascii="Calibri" w:hAnsi="Calibri" w:cs="Calibri"/>
          <w:lang w:val="de-DE"/>
        </w:rPr>
        <w:t>Präsentation, wie war die Kommunikation? Kommunikation</w:t>
      </w:r>
    </w:p>
    <w:p w14:paraId="494147C8" w14:textId="50BEB5B3" w:rsidR="008D035E" w:rsidRPr="00AF4297" w:rsidRDefault="008D035E" w:rsidP="008D035E">
      <w:pPr>
        <w:rPr>
          <w:rFonts w:ascii="Calibri" w:hAnsi="Calibri" w:cs="Calibri"/>
          <w:lang w:val="de-DE"/>
        </w:rPr>
      </w:pPr>
      <w:r w:rsidRPr="00AF4297">
        <w:rPr>
          <w:rFonts w:ascii="Calibri" w:hAnsi="Calibri" w:cs="Calibri"/>
          <w:lang w:val="de-DE"/>
        </w:rPr>
        <w:t>Die Beurteilungsmatrix wird von der Empfängergruppe verwaltet und der präsentierenden Gruppe schriftlich vorgelegt.</w:t>
      </w:r>
    </w:p>
    <w:p w14:paraId="19FBDB05" w14:textId="77777777" w:rsidR="00F769F9" w:rsidRPr="00AF4297" w:rsidRDefault="00F769F9" w:rsidP="008D035E">
      <w:pPr>
        <w:rPr>
          <w:rFonts w:ascii="Calibri" w:hAnsi="Calibri" w:cs="Calibri"/>
          <w:lang w:val="de-DE"/>
        </w:rPr>
      </w:pPr>
    </w:p>
    <w:p w14:paraId="55317679" w14:textId="656CE9EE" w:rsidR="008D035E" w:rsidRPr="00AF4297" w:rsidRDefault="00736CCC" w:rsidP="0049715A">
      <w:pPr>
        <w:jc w:val="both"/>
        <w:rPr>
          <w:rFonts w:ascii="Calibri" w:hAnsi="Calibri" w:cs="Calibri"/>
          <w:u w:val="single"/>
          <w:lang w:val="de-DE"/>
        </w:rPr>
      </w:pPr>
      <w:r w:rsidRPr="00AF4297">
        <w:rPr>
          <w:rFonts w:ascii="Calibri" w:hAnsi="Calibri" w:cs="Calibri"/>
          <w:u w:val="single"/>
          <w:lang w:val="de-DE"/>
        </w:rPr>
        <w:t xml:space="preserve">Umsetzung in der Praxis, Geltungsbereich - Perspektiven und wissenschaftlicher Verlauf </w:t>
      </w:r>
    </w:p>
    <w:p w14:paraId="5F1A0D20" w14:textId="57B26B6F" w:rsidR="008D035E" w:rsidRPr="00AF4297" w:rsidRDefault="008D035E" w:rsidP="008D035E">
      <w:pPr>
        <w:jc w:val="both"/>
        <w:rPr>
          <w:rFonts w:ascii="Calibri" w:hAnsi="Calibri" w:cs="Calibri"/>
          <w:lang w:val="de-DE"/>
        </w:rPr>
      </w:pPr>
      <w:r w:rsidRPr="00AF4297">
        <w:rPr>
          <w:rFonts w:ascii="Calibri" w:hAnsi="Calibri" w:cs="Calibri"/>
          <w:lang w:val="de-DE"/>
        </w:rPr>
        <w:t>Die Aufgabenstellung unterstützt den akademischen Fortschritt im 8. Semester, indem sie Fäden zwischen den vorangegangenen Semestern und der zukünftigen Praxis des Studierenden als berufstätiger Bachelor knüpft. Durch die Arbeit mit dem Fall hat der Studierende die Möglichkeit, seine Fähigkeit zu demonstrieren, sein Wissen im technischen Fachgebiet, in der Volkswirtschaftslehre und im Konzept der Nachhaltigkeit zu verknüpfen, was zu einem realistischen strategischen Entscheidungsprozess in einem Unternehmen beitragen kann.</w:t>
      </w:r>
    </w:p>
    <w:p w14:paraId="4D981629" w14:textId="1B932822" w:rsidR="008D035E" w:rsidRPr="00AF4297" w:rsidRDefault="008D035E" w:rsidP="005003B3">
      <w:pPr>
        <w:jc w:val="both"/>
        <w:rPr>
          <w:rFonts w:ascii="Calibri" w:hAnsi="Calibri" w:cs="Calibri"/>
          <w:lang w:val="de-DE"/>
        </w:rPr>
      </w:pPr>
      <w:r w:rsidRPr="00AF4297">
        <w:rPr>
          <w:rFonts w:ascii="Calibri" w:hAnsi="Calibri" w:cs="Calibri"/>
          <w:lang w:val="de-DE"/>
        </w:rPr>
        <w:t>Die Aufgabenstellung zielt auf den Erwerb von bereits erworbenen Kenntnissen, z.B. aus den Fächern Energie- &amp; Umweltmanagement und Instandhaltungsmanagement (6. Semester), ab und erweitert die Anwendung dieser Themenbereiche um strategische, organisatorische und finanzielle Überlegungen.</w:t>
      </w:r>
    </w:p>
    <w:p w14:paraId="6F7F7130" w14:textId="5418948A" w:rsidR="00731C01" w:rsidRPr="00AF4297" w:rsidRDefault="005003B3" w:rsidP="005003B3">
      <w:pPr>
        <w:jc w:val="both"/>
        <w:rPr>
          <w:lang w:val="de-DE"/>
        </w:rPr>
      </w:pPr>
      <w:r w:rsidRPr="00AF4297">
        <w:rPr>
          <w:rFonts w:ascii="Calibri" w:hAnsi="Calibri" w:cs="Calibri"/>
          <w:lang w:val="de-DE"/>
        </w:rPr>
        <w:t>Ziel der Aufgabenstellung ist es, die Fähigkeit des Studierenden zu ganzheitlichem Arbeiten zu fördern, wie es in komplexen Unternehmenskontexten erforderlich ist, in denen sich der Schiffsingenieur oft in einem Spannungsfeld zwischen Technik, Management und Nachhaltigkeit befindet. Dies steht im Einklang mit der Rolle des Schiffsingenieurs als Generalist und Entscheidungsträger in einer Organisation.</w:t>
      </w:r>
      <w:r w:rsidRPr="00AF4297">
        <w:rPr>
          <w:rFonts w:ascii="Calibri" w:hAnsi="Calibri" w:cs="Calibri"/>
          <w:lang w:val="de-DE"/>
        </w:rPr>
        <w:br/>
      </w:r>
    </w:p>
    <w:p w14:paraId="094ADD83" w14:textId="0C016346" w:rsidR="009F206E" w:rsidRPr="00AF4297" w:rsidRDefault="00CA6550" w:rsidP="005003B3">
      <w:pPr>
        <w:jc w:val="both"/>
        <w:rPr>
          <w:lang w:val="de-DE"/>
        </w:rPr>
      </w:pPr>
      <w:r>
        <w:rPr>
          <w:noProof/>
        </w:rPr>
        <mc:AlternateContent>
          <mc:Choice Requires="wps">
            <w:drawing>
              <wp:anchor distT="0" distB="0" distL="114300" distR="114300" simplePos="0" relativeHeight="251659264" behindDoc="0" locked="0" layoutInCell="1" allowOverlap="1" wp14:anchorId="486D38AD" wp14:editId="65A967A7">
                <wp:simplePos x="0" y="0"/>
                <wp:positionH relativeFrom="column">
                  <wp:posOffset>3937635</wp:posOffset>
                </wp:positionH>
                <wp:positionV relativeFrom="paragraph">
                  <wp:posOffset>273685</wp:posOffset>
                </wp:positionV>
                <wp:extent cx="2286000" cy="1619250"/>
                <wp:effectExtent l="0" t="0" r="0" b="0"/>
                <wp:wrapNone/>
                <wp:docPr id="423340225" name="Tekstfelt 1"/>
                <wp:cNvGraphicFramePr/>
                <a:graphic xmlns:a="http://schemas.openxmlformats.org/drawingml/2006/main">
                  <a:graphicData uri="http://schemas.microsoft.com/office/word/2010/wordprocessingShape">
                    <wps:wsp>
                      <wps:cNvSpPr txBox="1"/>
                      <wps:spPr>
                        <a:xfrm>
                          <a:off x="0" y="0"/>
                          <a:ext cx="2286000" cy="1619250"/>
                        </a:xfrm>
                        <a:prstGeom prst="rect">
                          <a:avLst/>
                        </a:prstGeom>
                        <a:solidFill>
                          <a:schemeClr val="lt1"/>
                        </a:solidFill>
                        <a:ln w="6350">
                          <a:noFill/>
                        </a:ln>
                      </wps:spPr>
                      <wps:txbx>
                        <w:txbxContent>
                          <w:p w14:paraId="35C80490" w14:textId="506B0004" w:rsidR="00FC6794" w:rsidRPr="00FC6794" w:rsidRDefault="00FC6794" w:rsidP="00FC6794">
                            <w:r w:rsidRPr="00FC6794">
                              <w:rPr>
                                <w:noProof/>
                              </w:rPr>
                              <w:drawing>
                                <wp:inline distT="0" distB="0" distL="0" distR="0" wp14:anchorId="1BA22090" wp14:editId="76774BBC">
                                  <wp:extent cx="1228725" cy="1638300"/>
                                  <wp:effectExtent l="0" t="0" r="9525" b="0"/>
                                  <wp:docPr id="687966026" name="Billede 3" descr="Et billede, der indeholder tekst, Post-it-note, Papirproduk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66026" name="Billede 3" descr="Et billede, der indeholder tekst, Post-it-note, Papirprodukt&#10;&#10;AI-genereret indhold kan være ukorrek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8725" cy="1638300"/>
                                          </a:xfrm>
                                          <a:prstGeom prst="rect">
                                            <a:avLst/>
                                          </a:prstGeom>
                                          <a:noFill/>
                                          <a:ln>
                                            <a:noFill/>
                                          </a:ln>
                                        </pic:spPr>
                                      </pic:pic>
                                    </a:graphicData>
                                  </a:graphic>
                                </wp:inline>
                              </w:drawing>
                            </w:r>
                          </w:p>
                          <w:p w14:paraId="63A7C683" w14:textId="77777777" w:rsidR="00CA6550" w:rsidRDefault="00CA65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6D38AD" id="_x0000_t202" coordsize="21600,21600" o:spt="202" path="m,l,21600r21600,l21600,xe">
                <v:stroke joinstyle="miter"/>
                <v:path gradientshapeok="t" o:connecttype="rect"/>
              </v:shapetype>
              <v:shape id="Tekstfelt 1" o:spid="_x0000_s1026" type="#_x0000_t202" style="position:absolute;left:0;text-align:left;margin-left:310.05pt;margin-top:21.55pt;width:180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3kLLAIAAFUEAAAOAAAAZHJzL2Uyb0RvYy54bWysVEtv2zAMvg/YfxB0X/xYmrVBnCJLkWFA&#10;0BZIi54VWYoNyKImKbGzXz9Kdh7rdhp2kUmR4uP7SM/uu0aRg7CuBl3QbJRSIjSHsta7gr6+rD7d&#10;UuI80yVToEVBj8LR+/nHD7PWTEUOFahSWIJBtJu2pqCV92aaJI5XomFuBEZoNEqwDfOo2l1SWtZi&#10;9EYleZpOkhZsaSxw4RzePvRGOo/xpRTcP0nphCeqoFibj6eN5zacyXzGpjvLTFXzoQz2D1U0rNaY&#10;9BzqgXlG9rb+I1RTcwsOpB9xaBKQsuYi9oDdZOm7bjYVMyL2guA4c4bJ/b+w/PGwMc+W+O4rdEhg&#10;AKQ1burwMvTTSduEL1ZK0I4QHs+wic4Tjpd5fjtJUzRxtGWT7C6/icAml+fGOv9NQEOCUFCLvES4&#10;2GHtPKZE15NLyOZA1eWqVioqYRbEUllyYMii8rFIfPGbl9KkLejkM6YOjzSE531kpTHBpakg+W7b&#10;DZ1uoTwiABb62XCGr2oscs2cf2YWhwEbwwH3T3hIBZgEBomSCuzPv90Hf+QIrZS0OFwFdT/2zApK&#10;1HeN7N1l43GYxqiMb77kqNhry/baovfNErDzDFfJ8CgGf69OorTQvOEeLEJWNDHNMXdB/Ulc+n7k&#10;cY+4WCyiE86fYX6tN4aH0AG0QMFL98asGXjySPEjnMaQTd/R1fv2cC/2HmQduQwA96gOuOPsRoqH&#10;PQvLca1Hr8vfYP4LAAD//wMAUEsDBBQABgAIAAAAIQAOxvTr4QAAAAoBAAAPAAAAZHJzL2Rvd25y&#10;ZXYueG1sTI9NT8MwDIbvSPyHyEhcEEs/YHSl7oQQMIkbKx/iljWhrWicqsm68u/xTnCybD96/bhY&#10;z7YXkxl95wghXkQgDNVOd9QgvFaPlxkIHxRp1TsyCD/Gw7o8PSlUrt2BXsy0DY3gEPK5QmhDGHIp&#10;fd0aq/zCDYZ49+VGqwK3YyP1qA4cbnuZRNFSWtURX2jVYO5bU39v9xbh86L5ePbz09shvU6Hh81U&#10;3bzrCvH8bL67BRHMHP5gOOqzOpTstHN70l70CMskihlFuEq5MrDKjoMdQrLKYpBlIf+/UP4CAAD/&#10;/wMAUEsBAi0AFAAGAAgAAAAhALaDOJL+AAAA4QEAABMAAAAAAAAAAAAAAAAAAAAAAFtDb250ZW50&#10;X1R5cGVzXS54bWxQSwECLQAUAAYACAAAACEAOP0h/9YAAACUAQAACwAAAAAAAAAAAAAAAAAvAQAA&#10;X3JlbHMvLnJlbHNQSwECLQAUAAYACAAAACEA4w95CywCAABVBAAADgAAAAAAAAAAAAAAAAAuAgAA&#10;ZHJzL2Uyb0RvYy54bWxQSwECLQAUAAYACAAAACEADsb06+EAAAAKAQAADwAAAAAAAAAAAAAAAACG&#10;BAAAZHJzL2Rvd25yZXYueG1sUEsFBgAAAAAEAAQA8wAAAJQFAAAAAA==&#10;" fillcolor="white [3201]" stroked="f" strokeweight=".5pt">
                <v:textbox>
                  <w:txbxContent>
                    <w:p w14:paraId="35C80490" w14:textId="506B0004" w:rsidR="00FC6794" w:rsidRPr="00FC6794" w:rsidRDefault="00FC6794" w:rsidP="00FC6794">
                      <w:r w:rsidRPr="00FC6794">
                        <w:rPr>
                          <w:noProof/>
                        </w:rPr>
                        <w:drawing>
                          <wp:inline distT="0" distB="0" distL="0" distR="0" wp14:anchorId="1BA22090" wp14:editId="76774BBC">
                            <wp:extent cx="1228725" cy="1638300"/>
                            <wp:effectExtent l="0" t="0" r="9525" b="0"/>
                            <wp:docPr id="687966026" name="Billede 3" descr="Et billede, der indeholder tekst, Post-it-note, Papirproduk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66026" name="Billede 3" descr="Et billede, der indeholder tekst, Post-it-note, Papirprodukt&#10;&#10;AI-genereret indhold kan være ukorrek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8725" cy="1638300"/>
                                    </a:xfrm>
                                    <a:prstGeom prst="rect">
                                      <a:avLst/>
                                    </a:prstGeom>
                                    <a:noFill/>
                                    <a:ln>
                                      <a:noFill/>
                                    </a:ln>
                                  </pic:spPr>
                                </pic:pic>
                              </a:graphicData>
                            </a:graphic>
                          </wp:inline>
                        </w:drawing>
                      </w:r>
                    </w:p>
                    <w:p w14:paraId="63A7C683" w14:textId="77777777" w:rsidR="00CA6550" w:rsidRDefault="00CA6550"/>
                  </w:txbxContent>
                </v:textbox>
              </v:shape>
            </w:pict>
          </mc:Fallback>
        </mc:AlternateContent>
      </w:r>
      <w:r w:rsidR="005003B3" w:rsidRPr="00AF4297">
        <w:rPr>
          <w:lang w:val="de-DE"/>
        </w:rPr>
        <w:t xml:space="preserve">Zusammen mit der Lösung der Aufgabe wird es möglich sein, mit dem "Puzzle" zu arbeiten. </w:t>
      </w:r>
    </w:p>
    <w:p w14:paraId="2C4A3851" w14:textId="77777777" w:rsidR="009F206E" w:rsidRPr="00AF4297" w:rsidRDefault="009F206E">
      <w:pPr>
        <w:rPr>
          <w:lang w:val="de-DE"/>
        </w:rPr>
      </w:pPr>
      <w:r w:rsidRPr="00AF4297">
        <w:rPr>
          <w:lang w:val="de-DE"/>
        </w:rPr>
        <w:br w:type="page"/>
      </w:r>
    </w:p>
    <w:p w14:paraId="5FE416FB" w14:textId="310E1073" w:rsidR="009F206E" w:rsidRPr="00AF4297" w:rsidRDefault="009F206E" w:rsidP="009F206E">
      <w:pPr>
        <w:jc w:val="both"/>
        <w:rPr>
          <w:rFonts w:ascii="Calibri" w:hAnsi="Calibri" w:cs="Calibri"/>
        </w:rPr>
      </w:pPr>
      <w:r w:rsidRPr="00AF4297">
        <w:rPr>
          <w:rFonts w:ascii="Calibri" w:hAnsi="Calibri" w:cs="Calibri"/>
        </w:rPr>
        <w:lastRenderedPageBreak/>
        <w:t>Literaturliste:</w:t>
      </w:r>
    </w:p>
    <w:p w14:paraId="4C527253" w14:textId="77777777" w:rsidR="009F206E" w:rsidRPr="009F206E" w:rsidRDefault="009F206E" w:rsidP="009F206E">
      <w:pPr>
        <w:jc w:val="both"/>
        <w:rPr>
          <w:rFonts w:ascii="Calibri" w:hAnsi="Calibri" w:cs="Calibri"/>
        </w:rPr>
      </w:pPr>
      <w:r w:rsidRPr="009F206E">
        <w:rPr>
          <w:rFonts w:ascii="Calibri" w:hAnsi="Calibri" w:cs="Calibri"/>
        </w:rPr>
        <w:t>Erhvervsøkonomi videregående uddannelser 6. udgave, Furbo &amp; Sundvang, Hans Reitzels Forlag, 2025</w:t>
      </w:r>
    </w:p>
    <w:p w14:paraId="11F8BD83" w14:textId="77777777" w:rsidR="009F206E" w:rsidRPr="009F206E" w:rsidRDefault="009F206E" w:rsidP="009F206E">
      <w:pPr>
        <w:jc w:val="both"/>
        <w:rPr>
          <w:rFonts w:ascii="Calibri" w:hAnsi="Calibri" w:cs="Calibri"/>
        </w:rPr>
      </w:pPr>
      <w:r w:rsidRPr="009F206E">
        <w:rPr>
          <w:rFonts w:ascii="Calibri" w:hAnsi="Calibri" w:cs="Calibri"/>
        </w:rPr>
        <w:t>ESG-Rapportering – for videregående uddannelser, Skou m.fl., Djøj Forlag, 2024</w:t>
      </w:r>
    </w:p>
    <w:p w14:paraId="0E8AF886" w14:textId="77777777" w:rsidR="009F206E" w:rsidRPr="009F206E" w:rsidRDefault="009F206E" w:rsidP="009F206E">
      <w:pPr>
        <w:jc w:val="both"/>
        <w:rPr>
          <w:rFonts w:ascii="Calibri" w:hAnsi="Calibri" w:cs="Calibri"/>
        </w:rPr>
      </w:pPr>
      <w:r w:rsidRPr="009F206E">
        <w:rPr>
          <w:rFonts w:ascii="Calibri" w:hAnsi="Calibri" w:cs="Calibri"/>
        </w:rPr>
        <w:t>Bæredygtig ledelse, Løgstrup, Expon Forlag, 2024</w:t>
      </w:r>
    </w:p>
    <w:p w14:paraId="046CED6C" w14:textId="77777777" w:rsidR="009F206E" w:rsidRPr="009F206E" w:rsidRDefault="009F206E" w:rsidP="009F206E">
      <w:pPr>
        <w:jc w:val="both"/>
        <w:rPr>
          <w:rFonts w:ascii="Calibri" w:hAnsi="Calibri" w:cs="Calibri"/>
        </w:rPr>
      </w:pPr>
      <w:r w:rsidRPr="009F206E">
        <w:rPr>
          <w:rFonts w:ascii="Calibri" w:hAnsi="Calibri" w:cs="Calibri"/>
        </w:rPr>
        <w:t>Organisation 7. udgave, Staunstrup, Hertel-Storm og Olsen, Trojka, 2021</w:t>
      </w:r>
    </w:p>
    <w:p w14:paraId="47AB26EE" w14:textId="77777777" w:rsidR="005003B3" w:rsidRDefault="005003B3" w:rsidP="005003B3">
      <w:pPr>
        <w:jc w:val="both"/>
      </w:pPr>
    </w:p>
    <w:sectPr w:rsidR="005003B3">
      <w:headerReference w:type="default" r:id="rId12"/>
      <w:footerReference w:type="default" r:id="rId1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C8F1C" w14:textId="77777777" w:rsidR="0065440F" w:rsidRDefault="0065440F" w:rsidP="00270181">
      <w:pPr>
        <w:spacing w:after="0" w:line="240" w:lineRule="auto"/>
      </w:pPr>
      <w:r>
        <w:separator/>
      </w:r>
    </w:p>
  </w:endnote>
  <w:endnote w:type="continuationSeparator" w:id="0">
    <w:p w14:paraId="4121A34F" w14:textId="77777777" w:rsidR="0065440F" w:rsidRDefault="0065440F" w:rsidP="00270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104F5" w14:textId="77777777" w:rsidR="000E74A0" w:rsidRPr="000E74A0" w:rsidRDefault="000E74A0">
    <w:pPr>
      <w:pStyle w:val="Sidefod"/>
      <w:rPr>
        <w:rFonts w:ascii="Calibri" w:hAnsi="Calibri" w:cs="Calibri"/>
        <w:sz w:val="16"/>
        <w:szCs w:val="16"/>
      </w:rPr>
    </w:pPr>
    <w:r w:rsidRPr="000E74A0">
      <w:rPr>
        <w:rFonts w:ascii="Calibri" w:hAnsi="Calibri" w:cs="Calibri"/>
        <w:sz w:val="16"/>
        <w:szCs w:val="16"/>
      </w:rPr>
      <w:t>Jan Meincke F2025</w:t>
    </w:r>
  </w:p>
  <w:p w14:paraId="1D180226" w14:textId="77777777" w:rsidR="00270181" w:rsidRDefault="0027018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25EA8" w14:textId="77777777" w:rsidR="0065440F" w:rsidRDefault="0065440F" w:rsidP="00270181">
      <w:pPr>
        <w:spacing w:after="0" w:line="240" w:lineRule="auto"/>
      </w:pPr>
      <w:r>
        <w:separator/>
      </w:r>
    </w:p>
  </w:footnote>
  <w:footnote w:type="continuationSeparator" w:id="0">
    <w:p w14:paraId="5C225192" w14:textId="77777777" w:rsidR="0065440F" w:rsidRDefault="0065440F" w:rsidP="00270181">
      <w:pPr>
        <w:spacing w:after="0" w:line="240" w:lineRule="auto"/>
      </w:pPr>
      <w:r>
        <w:continuationSeparator/>
      </w:r>
    </w:p>
  </w:footnote>
  <w:footnote w:id="1">
    <w:p w14:paraId="37D6663A" w14:textId="329CF7E1" w:rsidR="008D035E" w:rsidRDefault="008D035E">
      <w:pPr>
        <w:pStyle w:val="Fodnotetekst"/>
      </w:pPr>
      <w:r>
        <w:rPr>
          <w:rStyle w:val="Fodnotehenvisning"/>
        </w:rPr>
        <w:footnoteRef/>
      </w:r>
      <w:r w:rsidRPr="00AF4297">
        <w:rPr>
          <w:lang w:val="de-DE"/>
        </w:rPr>
        <w:t xml:space="preserve"> Das Fach Organisation wird parallel zum wirtschaftswissenschaftlichen Fach im 8. </w:t>
      </w:r>
      <w:r>
        <w:t>Semester durchgeführt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2A941" w14:textId="304557C1" w:rsidR="006F59D0" w:rsidRDefault="006F59D0" w:rsidP="006F59D0">
    <w:pPr>
      <w:pStyle w:val="Sidehoved"/>
      <w:jc w:val="right"/>
    </w:pPr>
    <w:r>
      <w:rPr>
        <w:noProof/>
      </w:rPr>
      <w:drawing>
        <wp:inline distT="0" distB="0" distL="0" distR="0" wp14:anchorId="00F9FDE4" wp14:editId="118DCA3B">
          <wp:extent cx="2677160" cy="576580"/>
          <wp:effectExtent l="0" t="0" r="8890" b="0"/>
          <wp:docPr id="106855583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55834" name="Billed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7160" cy="576580"/>
                  </a:xfrm>
                  <a:prstGeom prst="rect">
                    <a:avLst/>
                  </a:prstGeom>
                  <a:noFill/>
                  <a:ln>
                    <a:noFill/>
                  </a:ln>
                </pic:spPr>
              </pic:pic>
            </a:graphicData>
          </a:graphic>
        </wp:inline>
      </w:drawing>
    </w:r>
  </w:p>
  <w:p w14:paraId="5B50DFE3" w14:textId="77777777" w:rsidR="000E74A0" w:rsidRDefault="000E74A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E7BBE"/>
    <w:multiLevelType w:val="multilevel"/>
    <w:tmpl w:val="122A45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FC093B"/>
    <w:multiLevelType w:val="multilevel"/>
    <w:tmpl w:val="9154B3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DA283E"/>
    <w:multiLevelType w:val="multilevel"/>
    <w:tmpl w:val="358493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9257567">
    <w:abstractNumId w:val="2"/>
  </w:num>
  <w:num w:numId="2" w16cid:durableId="420569912">
    <w:abstractNumId w:val="1"/>
  </w:num>
  <w:num w:numId="3" w16cid:durableId="75374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B17"/>
    <w:rsid w:val="00065803"/>
    <w:rsid w:val="00094761"/>
    <w:rsid w:val="000A3500"/>
    <w:rsid w:val="000B6186"/>
    <w:rsid w:val="000E74A0"/>
    <w:rsid w:val="00137D64"/>
    <w:rsid w:val="0019068B"/>
    <w:rsid w:val="001C6AFB"/>
    <w:rsid w:val="002246BF"/>
    <w:rsid w:val="00237693"/>
    <w:rsid w:val="00270181"/>
    <w:rsid w:val="002A46C4"/>
    <w:rsid w:val="0034730B"/>
    <w:rsid w:val="00372EDB"/>
    <w:rsid w:val="003B2781"/>
    <w:rsid w:val="003D4141"/>
    <w:rsid w:val="0046388F"/>
    <w:rsid w:val="00482E2A"/>
    <w:rsid w:val="0049715A"/>
    <w:rsid w:val="004B65FC"/>
    <w:rsid w:val="004C789F"/>
    <w:rsid w:val="005003B3"/>
    <w:rsid w:val="0052396B"/>
    <w:rsid w:val="00570148"/>
    <w:rsid w:val="005E428E"/>
    <w:rsid w:val="0065440F"/>
    <w:rsid w:val="006F59D0"/>
    <w:rsid w:val="00731C01"/>
    <w:rsid w:val="00736CCC"/>
    <w:rsid w:val="00755270"/>
    <w:rsid w:val="00803A54"/>
    <w:rsid w:val="008C608F"/>
    <w:rsid w:val="008D035E"/>
    <w:rsid w:val="00960453"/>
    <w:rsid w:val="009F206E"/>
    <w:rsid w:val="00A46F4B"/>
    <w:rsid w:val="00AA2F05"/>
    <w:rsid w:val="00AE79F5"/>
    <w:rsid w:val="00AF4297"/>
    <w:rsid w:val="00B2053B"/>
    <w:rsid w:val="00B5273E"/>
    <w:rsid w:val="00C12417"/>
    <w:rsid w:val="00CA6550"/>
    <w:rsid w:val="00D2077D"/>
    <w:rsid w:val="00D46D81"/>
    <w:rsid w:val="00DB1B17"/>
    <w:rsid w:val="00DB1BC2"/>
    <w:rsid w:val="00DB213A"/>
    <w:rsid w:val="00DB2E8F"/>
    <w:rsid w:val="00EC4C7E"/>
    <w:rsid w:val="00F44FEB"/>
    <w:rsid w:val="00F769F9"/>
    <w:rsid w:val="00FC6794"/>
    <w:rsid w:val="00FE2DE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4E1C2"/>
  <w15:chartTrackingRefBased/>
  <w15:docId w15:val="{36063536-BDE3-4DCE-94C0-08309C0D2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B1B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B1B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B1B1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B1B1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B1B1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B1B1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B1B1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B1B1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B1B1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B1B1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B1B1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B1B17"/>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B1B17"/>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B1B17"/>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B1B1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B1B1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B1B1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B1B17"/>
    <w:rPr>
      <w:rFonts w:eastAsiaTheme="majorEastAsia" w:cstheme="majorBidi"/>
      <w:color w:val="272727" w:themeColor="text1" w:themeTint="D8"/>
    </w:rPr>
  </w:style>
  <w:style w:type="paragraph" w:styleId="Titel">
    <w:name w:val="Title"/>
    <w:basedOn w:val="Normal"/>
    <w:next w:val="Normal"/>
    <w:link w:val="TitelTegn"/>
    <w:uiPriority w:val="10"/>
    <w:qFormat/>
    <w:rsid w:val="00DB1B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B1B1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B1B1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B1B1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B1B1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B1B17"/>
    <w:rPr>
      <w:i/>
      <w:iCs/>
      <w:color w:val="404040" w:themeColor="text1" w:themeTint="BF"/>
    </w:rPr>
  </w:style>
  <w:style w:type="paragraph" w:styleId="Listeafsnit">
    <w:name w:val="List Paragraph"/>
    <w:basedOn w:val="Normal"/>
    <w:uiPriority w:val="34"/>
    <w:qFormat/>
    <w:rsid w:val="00DB1B17"/>
    <w:pPr>
      <w:ind w:left="720"/>
      <w:contextualSpacing/>
    </w:pPr>
  </w:style>
  <w:style w:type="character" w:styleId="Kraftigfremhvning">
    <w:name w:val="Intense Emphasis"/>
    <w:basedOn w:val="Standardskrifttypeiafsnit"/>
    <w:uiPriority w:val="21"/>
    <w:qFormat/>
    <w:rsid w:val="00DB1B17"/>
    <w:rPr>
      <w:i/>
      <w:iCs/>
      <w:color w:val="0F4761" w:themeColor="accent1" w:themeShade="BF"/>
    </w:rPr>
  </w:style>
  <w:style w:type="paragraph" w:styleId="Strktcitat">
    <w:name w:val="Intense Quote"/>
    <w:basedOn w:val="Normal"/>
    <w:next w:val="Normal"/>
    <w:link w:val="StrktcitatTegn"/>
    <w:uiPriority w:val="30"/>
    <w:qFormat/>
    <w:rsid w:val="00DB1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B1B17"/>
    <w:rPr>
      <w:i/>
      <w:iCs/>
      <w:color w:val="0F4761" w:themeColor="accent1" w:themeShade="BF"/>
    </w:rPr>
  </w:style>
  <w:style w:type="character" w:styleId="Kraftighenvisning">
    <w:name w:val="Intense Reference"/>
    <w:basedOn w:val="Standardskrifttypeiafsnit"/>
    <w:uiPriority w:val="32"/>
    <w:qFormat/>
    <w:rsid w:val="00DB1B17"/>
    <w:rPr>
      <w:b/>
      <w:bCs/>
      <w:smallCaps/>
      <w:color w:val="0F4761" w:themeColor="accent1" w:themeShade="BF"/>
      <w:spacing w:val="5"/>
    </w:rPr>
  </w:style>
  <w:style w:type="paragraph" w:styleId="Sidehoved">
    <w:name w:val="header"/>
    <w:basedOn w:val="Normal"/>
    <w:link w:val="SidehovedTegn"/>
    <w:uiPriority w:val="99"/>
    <w:unhideWhenUsed/>
    <w:rsid w:val="0027018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70181"/>
  </w:style>
  <w:style w:type="paragraph" w:styleId="Sidefod">
    <w:name w:val="footer"/>
    <w:basedOn w:val="Normal"/>
    <w:link w:val="SidefodTegn"/>
    <w:uiPriority w:val="99"/>
    <w:unhideWhenUsed/>
    <w:rsid w:val="00270181"/>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70181"/>
  </w:style>
  <w:style w:type="paragraph" w:styleId="Slutnotetekst">
    <w:name w:val="endnote text"/>
    <w:basedOn w:val="Normal"/>
    <w:link w:val="SlutnotetekstTegn"/>
    <w:uiPriority w:val="99"/>
    <w:semiHidden/>
    <w:unhideWhenUsed/>
    <w:rsid w:val="008D035E"/>
    <w:pPr>
      <w:spacing w:after="0" w:line="240" w:lineRule="auto"/>
    </w:pPr>
    <w:rPr>
      <w:sz w:val="20"/>
      <w:szCs w:val="20"/>
    </w:rPr>
  </w:style>
  <w:style w:type="character" w:customStyle="1" w:styleId="SlutnotetekstTegn">
    <w:name w:val="Slutnotetekst Tegn"/>
    <w:basedOn w:val="Standardskrifttypeiafsnit"/>
    <w:link w:val="Slutnotetekst"/>
    <w:uiPriority w:val="99"/>
    <w:semiHidden/>
    <w:rsid w:val="008D035E"/>
    <w:rPr>
      <w:sz w:val="20"/>
      <w:szCs w:val="20"/>
    </w:rPr>
  </w:style>
  <w:style w:type="character" w:styleId="Slutnotehenvisning">
    <w:name w:val="endnote reference"/>
    <w:basedOn w:val="Standardskrifttypeiafsnit"/>
    <w:uiPriority w:val="99"/>
    <w:semiHidden/>
    <w:unhideWhenUsed/>
    <w:rsid w:val="008D035E"/>
    <w:rPr>
      <w:vertAlign w:val="superscript"/>
    </w:rPr>
  </w:style>
  <w:style w:type="paragraph" w:styleId="Fodnotetekst">
    <w:name w:val="footnote text"/>
    <w:basedOn w:val="Normal"/>
    <w:link w:val="FodnotetekstTegn"/>
    <w:uiPriority w:val="99"/>
    <w:semiHidden/>
    <w:unhideWhenUsed/>
    <w:rsid w:val="008D035E"/>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8D035E"/>
    <w:rPr>
      <w:sz w:val="20"/>
      <w:szCs w:val="20"/>
    </w:rPr>
  </w:style>
  <w:style w:type="character" w:styleId="Fodnotehenvisning">
    <w:name w:val="footnote reference"/>
    <w:basedOn w:val="Standardskrifttypeiafsnit"/>
    <w:uiPriority w:val="99"/>
    <w:semiHidden/>
    <w:unhideWhenUsed/>
    <w:rsid w:val="008D035E"/>
    <w:rPr>
      <w:vertAlign w:val="superscript"/>
    </w:rPr>
  </w:style>
  <w:style w:type="character" w:styleId="Pladsholdertekst">
    <w:name w:val="Placeholder Text"/>
    <w:basedOn w:val="Standardskrifttypeiafsnit"/>
    <w:uiPriority w:val="99"/>
    <w:semiHidden/>
    <w:rsid w:val="00FE2D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617237">
      <w:bodyDiv w:val="1"/>
      <w:marLeft w:val="0"/>
      <w:marRight w:val="0"/>
      <w:marTop w:val="0"/>
      <w:marBottom w:val="0"/>
      <w:divBdr>
        <w:top w:val="none" w:sz="0" w:space="0" w:color="auto"/>
        <w:left w:val="none" w:sz="0" w:space="0" w:color="auto"/>
        <w:bottom w:val="none" w:sz="0" w:space="0" w:color="auto"/>
        <w:right w:val="none" w:sz="0" w:space="0" w:color="auto"/>
      </w:divBdr>
      <w:divsChild>
        <w:div w:id="65997487">
          <w:marLeft w:val="0"/>
          <w:marRight w:val="0"/>
          <w:marTop w:val="0"/>
          <w:marBottom w:val="0"/>
          <w:divBdr>
            <w:top w:val="none" w:sz="0" w:space="0" w:color="auto"/>
            <w:left w:val="none" w:sz="0" w:space="0" w:color="auto"/>
            <w:bottom w:val="none" w:sz="0" w:space="0" w:color="auto"/>
            <w:right w:val="none" w:sz="0" w:space="0" w:color="auto"/>
          </w:divBdr>
        </w:div>
        <w:div w:id="1319112687">
          <w:marLeft w:val="0"/>
          <w:marRight w:val="0"/>
          <w:marTop w:val="0"/>
          <w:marBottom w:val="0"/>
          <w:divBdr>
            <w:top w:val="none" w:sz="0" w:space="0" w:color="auto"/>
            <w:left w:val="none" w:sz="0" w:space="0" w:color="auto"/>
            <w:bottom w:val="none" w:sz="0" w:space="0" w:color="auto"/>
            <w:right w:val="none" w:sz="0" w:space="0" w:color="auto"/>
          </w:divBdr>
        </w:div>
        <w:div w:id="1244530506">
          <w:marLeft w:val="0"/>
          <w:marRight w:val="0"/>
          <w:marTop w:val="0"/>
          <w:marBottom w:val="0"/>
          <w:divBdr>
            <w:top w:val="none" w:sz="0" w:space="0" w:color="auto"/>
            <w:left w:val="none" w:sz="0" w:space="0" w:color="auto"/>
            <w:bottom w:val="none" w:sz="0" w:space="0" w:color="auto"/>
            <w:right w:val="none" w:sz="0" w:space="0" w:color="auto"/>
          </w:divBdr>
        </w:div>
      </w:divsChild>
    </w:div>
    <w:div w:id="1562400371">
      <w:bodyDiv w:val="1"/>
      <w:marLeft w:val="0"/>
      <w:marRight w:val="0"/>
      <w:marTop w:val="0"/>
      <w:marBottom w:val="0"/>
      <w:divBdr>
        <w:top w:val="none" w:sz="0" w:space="0" w:color="auto"/>
        <w:left w:val="none" w:sz="0" w:space="0" w:color="auto"/>
        <w:bottom w:val="none" w:sz="0" w:space="0" w:color="auto"/>
        <w:right w:val="none" w:sz="0" w:space="0" w:color="auto"/>
      </w:divBdr>
      <w:divsChild>
        <w:div w:id="791439741">
          <w:marLeft w:val="0"/>
          <w:marRight w:val="0"/>
          <w:marTop w:val="0"/>
          <w:marBottom w:val="0"/>
          <w:divBdr>
            <w:top w:val="none" w:sz="0" w:space="0" w:color="auto"/>
            <w:left w:val="none" w:sz="0" w:space="0" w:color="auto"/>
            <w:bottom w:val="none" w:sz="0" w:space="0" w:color="auto"/>
            <w:right w:val="none" w:sz="0" w:space="0" w:color="auto"/>
          </w:divBdr>
        </w:div>
        <w:div w:id="412436076">
          <w:marLeft w:val="0"/>
          <w:marRight w:val="0"/>
          <w:marTop w:val="0"/>
          <w:marBottom w:val="0"/>
          <w:divBdr>
            <w:top w:val="none" w:sz="0" w:space="0" w:color="auto"/>
            <w:left w:val="none" w:sz="0" w:space="0" w:color="auto"/>
            <w:bottom w:val="none" w:sz="0" w:space="0" w:color="auto"/>
            <w:right w:val="none" w:sz="0" w:space="0" w:color="auto"/>
          </w:divBdr>
        </w:div>
        <w:div w:id="2111270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A8D3E7-4AA9-41C3-B760-29891A4D69C9}">
  <ds:schemaRefs>
    <ds:schemaRef ds:uri="http://schemas.openxmlformats.org/officeDocument/2006/bibliography"/>
  </ds:schemaRefs>
</ds:datastoreItem>
</file>

<file path=customXml/itemProps2.xml><?xml version="1.0" encoding="utf-8"?>
<ds:datastoreItem xmlns:ds="http://schemas.openxmlformats.org/officeDocument/2006/customXml" ds:itemID="{06473BB8-4CF4-4699-9D8D-79AA763C1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64BECB-F9F2-4B9E-B8C1-A4746FA62509}">
  <ds:schemaRefs>
    <ds:schemaRef ds:uri="http://schemas.microsoft.com/sharepoint/v3/contenttype/forms"/>
  </ds:schemaRefs>
</ds:datastoreItem>
</file>

<file path=customXml/itemProps4.xml><?xml version="1.0" encoding="utf-8"?>
<ds:datastoreItem xmlns:ds="http://schemas.openxmlformats.org/officeDocument/2006/customXml" ds:itemID="{C5406CB0-B364-40F3-8761-0802B4705B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921</Words>
  <Characters>5623</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Meincke Iversen</dc:creator>
  <cp:keywords/>
  <dc:description/>
  <cp:lastModifiedBy>Camilla Hyldahl Grøn</cp:lastModifiedBy>
  <cp:revision>8</cp:revision>
  <cp:lastPrinted>2025-02-20T12:44:00Z</cp:lastPrinted>
  <dcterms:created xsi:type="dcterms:W3CDTF">2025-05-07T12:13:00Z</dcterms:created>
  <dcterms:modified xsi:type="dcterms:W3CDTF">2026-04-30T08:47:00Z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Order">
    <vt:r8>68100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