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CC8F5" w14:textId="77777777" w:rsidR="00864338" w:rsidRPr="00B0754B" w:rsidRDefault="00D82C78" w:rsidP="00A5352E">
      <w:pPr>
        <w:pStyle w:val="Overskrift1"/>
        <w:rPr>
          <w:lang w:val="de-DE"/>
        </w:rPr>
      </w:pPr>
      <w:r w:rsidRPr="00B0754B">
        <w:rPr>
          <w:lang w:val="de-DE"/>
        </w:rPr>
        <w:t>Nachhaltigkeitsdidaktik im IBC 360 E-Learning Center/IBC Fernunterricht (Didaktische Reflexion</w:t>
      </w:r>
    </w:p>
    <w:p w14:paraId="417DDD84" w14:textId="0B095F11" w:rsidR="00153969" w:rsidRPr="00153969" w:rsidRDefault="00153969" w:rsidP="00864338">
      <w:pPr>
        <w:pStyle w:val="Listeafsnit"/>
        <w:numPr>
          <w:ilvl w:val="0"/>
          <w:numId w:val="2"/>
        </w:numPr>
      </w:pPr>
      <w:r>
        <w:t xml:space="preserve">Svend Ole Glüsing, </w:t>
      </w:r>
      <w:proofErr w:type="spellStart"/>
      <w:r w:rsidR="00864338">
        <w:t>C</w:t>
      </w:r>
      <w:r w:rsidR="00864338" w:rsidRPr="00864338">
        <w:t>hefberater</w:t>
      </w:r>
      <w:proofErr w:type="spellEnd"/>
      <w:r w:rsidR="00864338" w:rsidRPr="00864338">
        <w:t xml:space="preserve"> </w:t>
      </w:r>
      <w:proofErr w:type="spellStart"/>
      <w:r w:rsidR="00864338" w:rsidRPr="00864338">
        <w:t>bei</w:t>
      </w:r>
      <w:proofErr w:type="spellEnd"/>
      <w:r w:rsidR="00864338" w:rsidRPr="00864338">
        <w:t xml:space="preserve"> IBC Kurser og Konsulenthus</w:t>
      </w:r>
    </w:p>
    <w:p w14:paraId="523DE984" w14:textId="6E6E5784" w:rsidR="000724B6" w:rsidRPr="00B0754B" w:rsidRDefault="00864338" w:rsidP="00A5352E">
      <w:pPr>
        <w:pStyle w:val="Overskrift2"/>
        <w:rPr>
          <w:lang w:val="de-DE"/>
        </w:rPr>
      </w:pPr>
      <w:r w:rsidRPr="00B0754B">
        <w:rPr>
          <w:lang w:val="de-DE"/>
        </w:rPr>
        <w:t>Kurze Hintergrundbeschreibung</w:t>
      </w:r>
    </w:p>
    <w:p w14:paraId="27C7BEE2" w14:textId="77777777" w:rsidR="00785122" w:rsidRPr="00785122" w:rsidRDefault="00785122" w:rsidP="00785122">
      <w:pPr>
        <w:rPr>
          <w:lang w:val="de-DE"/>
        </w:rPr>
      </w:pPr>
      <w:r w:rsidRPr="00785122">
        <w:rPr>
          <w:lang w:val="de-DE"/>
        </w:rPr>
        <w:t>Ich arbeite als Chefberater im IBC 360 E-Learning Center und im IBC Fernunterricht. Dort bieten wir über 150 Onlinekurse an, die entweder in unseren E-Learning-Zentren oder als reine Fernkurse absolviert werden können. Das Konzept vereint das Beste aus zwei Welten: ein individuelles digitales Kursformat mit Zugang zu fachlicher Beratung.</w:t>
      </w:r>
    </w:p>
    <w:p w14:paraId="34F2AB5C" w14:textId="77777777" w:rsidR="00785122" w:rsidRPr="00785122" w:rsidRDefault="00785122" w:rsidP="00785122">
      <w:pPr>
        <w:rPr>
          <w:lang w:val="de-DE"/>
        </w:rPr>
      </w:pPr>
      <w:r w:rsidRPr="00785122">
        <w:rPr>
          <w:lang w:val="de-DE"/>
        </w:rPr>
        <w:t>Das Lernmaterial für jedes Modul ist nach dem Prinzip der Selbstinstruktion entwickelt. Der Lernverlauf berücksichtigt eine natürliche Progression, und das Material ist so gestaltet, dass es alle Lernstile anspricht.</w:t>
      </w:r>
    </w:p>
    <w:p w14:paraId="5CA4B84B" w14:textId="77777777" w:rsidR="00785122" w:rsidRPr="00785122" w:rsidRDefault="00785122" w:rsidP="00785122">
      <w:pPr>
        <w:rPr>
          <w:lang w:val="de-DE"/>
        </w:rPr>
      </w:pPr>
      <w:r w:rsidRPr="00785122">
        <w:rPr>
          <w:lang w:val="de-DE"/>
        </w:rPr>
        <w:t>Formal laufen die Kurse als AMU-Kurse, das heißt, sie unterliegen einem AMU-Rahmen (einschließlich fester Anwesenheitszeiten, obwohl der gesamte Unterricht online stattfindet).</w:t>
      </w:r>
    </w:p>
    <w:p w14:paraId="363F0737" w14:textId="77777777" w:rsidR="00785122" w:rsidRPr="00785122" w:rsidRDefault="00785122" w:rsidP="00785122">
      <w:pPr>
        <w:rPr>
          <w:lang w:val="de-DE"/>
        </w:rPr>
      </w:pPr>
      <w:r w:rsidRPr="00785122">
        <w:rPr>
          <w:lang w:val="de-DE"/>
        </w:rPr>
        <w:t xml:space="preserve">Die Teilnehmenden lassen sich in drei Kategorien einteilen: Arbeitsuchende, die vom Jobcenter geschickt werden; Beschäftigte, die vom Arbeitgeber entsandt werden; sowie Privatpersonen. Die ersten beiden Gruppen sind an die Anwesenheitspflicht von 8.00 bis 15.25 Uhr gebunden, entsprechend einem regulären Arbeitstag von 7,40 Stunden. Privat angemeldete Teilnehmende unterliegen keiner Anwesenheitspflicht, da ihre Teilnahme weder </w:t>
      </w:r>
      <w:proofErr w:type="gramStart"/>
      <w:r w:rsidRPr="00785122">
        <w:rPr>
          <w:lang w:val="de-DE"/>
        </w:rPr>
        <w:t>Zuschüsse,</w:t>
      </w:r>
      <w:proofErr w:type="gramEnd"/>
      <w:r w:rsidRPr="00785122">
        <w:rPr>
          <w:lang w:val="de-DE"/>
        </w:rPr>
        <w:t xml:space="preserve"> noch Arbeitslosengeld- oder VEU-Ansprüche beinhaltet.</w:t>
      </w:r>
    </w:p>
    <w:p w14:paraId="1BBCDEA3" w14:textId="77777777" w:rsidR="00785122" w:rsidRPr="00785122" w:rsidRDefault="00785122" w:rsidP="00252FFA">
      <w:pPr>
        <w:rPr>
          <w:lang w:val="de-DE"/>
        </w:rPr>
      </w:pPr>
    </w:p>
    <w:p w14:paraId="0725E7F5" w14:textId="77777777" w:rsidR="00F10F10" w:rsidRPr="00B0754B" w:rsidRDefault="00F10F10" w:rsidP="00A5352E">
      <w:pPr>
        <w:pStyle w:val="Overskrift2"/>
        <w:rPr>
          <w:lang w:val="de-DE"/>
        </w:rPr>
      </w:pPr>
      <w:r w:rsidRPr="00B0754B">
        <w:rPr>
          <w:lang w:val="de-DE"/>
        </w:rPr>
        <w:t>Das unmittelbar Nachhaltige</w:t>
      </w:r>
    </w:p>
    <w:p w14:paraId="6AA2AEE1" w14:textId="77777777" w:rsidR="00F10F10" w:rsidRPr="00F10F10" w:rsidRDefault="00F10F10" w:rsidP="00F10F10">
      <w:pPr>
        <w:rPr>
          <w:lang w:val="de-DE"/>
        </w:rPr>
      </w:pPr>
      <w:r w:rsidRPr="00F10F10">
        <w:rPr>
          <w:lang w:val="de-DE"/>
        </w:rPr>
        <w:t xml:space="preserve">Betrachtet man die beiden Formen des Online-Unterrichts, stellt sich die Frage, ob es sich um eine nachhaltige Form des Unterrichts bzw. der Kursdurchführung handelt. Tatsächlich gibt es mehrere Aspekte, die </w:t>
      </w:r>
      <w:proofErr w:type="gramStart"/>
      <w:r w:rsidRPr="00F10F10">
        <w:rPr>
          <w:lang w:val="de-DE"/>
        </w:rPr>
        <w:t>dafür sprechen</w:t>
      </w:r>
      <w:proofErr w:type="gramEnd"/>
      <w:r w:rsidRPr="00F10F10">
        <w:rPr>
          <w:lang w:val="de-DE"/>
        </w:rPr>
        <w:t>. Nicht zuletzt die Tatsache, dass durch diese Konzepte garantiert werden kann, dass kein Kurs jemals abgesagt wird, da es streng genommen keine festen Kursgruppen für die einzelnen Module gibt.</w:t>
      </w:r>
    </w:p>
    <w:p w14:paraId="7E1BE1CC" w14:textId="77777777" w:rsidR="00F10F10" w:rsidRPr="00F10F10" w:rsidRDefault="00F10F10" w:rsidP="00F10F10">
      <w:pPr>
        <w:rPr>
          <w:lang w:val="de-DE"/>
        </w:rPr>
      </w:pPr>
      <w:r w:rsidRPr="00F10F10">
        <w:rPr>
          <w:lang w:val="de-DE"/>
        </w:rPr>
        <w:t>Beim traditionellen Gruppenunterricht ist der Anbieter auf eine Mindestteilnehmerzahl für dasselbe Modul angewiesen, um wirtschaftlich arbeiten zu können. Liegt die Zahl der Anmeldungen darunter, wird der Kurs abgesagt – und keiner der wenigen Teilnehmenden erhält die Möglichkeit, den Kurs zu absolvieren und somit auch kein AMU-Zertifikat zu bekommen.</w:t>
      </w:r>
    </w:p>
    <w:p w14:paraId="0EB25D2D" w14:textId="01675E87" w:rsidR="00F10F10" w:rsidRPr="00F10F10" w:rsidRDefault="00F10F10" w:rsidP="00F10F10">
      <w:pPr>
        <w:rPr>
          <w:lang w:val="de-DE"/>
        </w:rPr>
      </w:pPr>
      <w:r w:rsidRPr="00F10F10">
        <w:rPr>
          <w:lang w:val="de-DE"/>
        </w:rPr>
        <w:lastRenderedPageBreak/>
        <w:t>Bei 360 und beim Fernunterricht hingegen kann jede teilnehmende Person garantiert jedes beliebige Modul absolvieren und abschließen – unabhängig davon, ob sie die einzige Person im ganzen Land ist, die sich für genau dieses Modul angemeldet hat. Das ist Nachhaltigkeit sowohl auf gesellschaftlicher als auch auf individueller Ebene. Dies gilt sowohl im Hinblick auf die UN-Ziele für nachhaltige Entwicklung</w:t>
      </w:r>
      <w:r w:rsidR="00DF7E7D">
        <w:rPr>
          <w:rStyle w:val="Fodnotehenvisning"/>
          <w:lang w:val="de-DE"/>
        </w:rPr>
        <w:footnoteReference w:id="1"/>
      </w:r>
      <w:r w:rsidRPr="00F10F10">
        <w:rPr>
          <w:lang w:val="de-DE"/>
        </w:rPr>
        <w:t xml:space="preserve"> als auch auf die UNESCO-Kompetenzen</w:t>
      </w:r>
      <w:r w:rsidR="00376610">
        <w:rPr>
          <w:rStyle w:val="Fodnotehenvisning"/>
          <w:lang w:val="de-DE"/>
        </w:rPr>
        <w:footnoteReference w:id="2"/>
      </w:r>
      <w:r w:rsidRPr="00F10F10">
        <w:rPr>
          <w:lang w:val="de-DE"/>
        </w:rPr>
        <w:t xml:space="preserve"> für nachhaltige Entwicklung. Mehr dazu im mündlichen Teil.</w:t>
      </w:r>
    </w:p>
    <w:p w14:paraId="1B310CAE" w14:textId="77777777" w:rsidR="00F10F10" w:rsidRPr="00A5352E" w:rsidRDefault="00F10F10" w:rsidP="00B05074">
      <w:pPr>
        <w:rPr>
          <w:lang w:val="de-DE"/>
        </w:rPr>
      </w:pPr>
    </w:p>
    <w:p w14:paraId="129D47E1" w14:textId="77777777" w:rsidR="00A5352E" w:rsidRPr="00A5352E" w:rsidRDefault="00A5352E" w:rsidP="00A5352E">
      <w:pPr>
        <w:pStyle w:val="Overskrift2"/>
        <w:rPr>
          <w:lang w:val="de-DE"/>
        </w:rPr>
      </w:pPr>
      <w:r w:rsidRPr="00A5352E">
        <w:rPr>
          <w:lang w:val="de-DE"/>
        </w:rPr>
        <w:t>Mehr Nachhaltigkeit mit Ausgangspunkt im Individuum (Mikrohandlung – Makroergebnisse)</w:t>
      </w:r>
    </w:p>
    <w:p w14:paraId="23D83DD5" w14:textId="32D00F02" w:rsidR="00D711C3" w:rsidRPr="00D711C3" w:rsidRDefault="00D711C3" w:rsidP="00D711C3">
      <w:pPr>
        <w:rPr>
          <w:lang w:val="de-DE"/>
        </w:rPr>
      </w:pPr>
      <w:r w:rsidRPr="00D711C3">
        <w:rPr>
          <w:lang w:val="de-DE"/>
        </w:rPr>
        <w:t>Neben den bereits offensichtlich nachhaltigen Elementen des Konzepts gibt es auch Bereiche, die einen stärkeren didaktischen Impuls benötigen, damit Nachhaltigkeit sich im Handeln und in der Haltung des Einzelnen verankert. Hier ist nahezu die gesamte Palette der UNESCO-Schlüsselkompetenzen</w:t>
      </w:r>
      <w:r w:rsidR="004744CE">
        <w:rPr>
          <w:rStyle w:val="Fodnotehenvisning"/>
        </w:rPr>
        <w:footnoteReference w:id="3"/>
      </w:r>
      <w:r w:rsidRPr="00D711C3">
        <w:rPr>
          <w:lang w:val="de-DE"/>
        </w:rPr>
        <w:t xml:space="preserve"> relevant – und im Besonderen die SDG</w:t>
      </w:r>
      <w:r w:rsidR="00E779CE">
        <w:rPr>
          <w:rStyle w:val="Fodnotehenvisning"/>
          <w:lang w:val="de-DE"/>
        </w:rPr>
        <w:footnoteReference w:id="4"/>
      </w:r>
      <w:r w:rsidRPr="00D711C3">
        <w:rPr>
          <w:lang w:val="de-DE"/>
        </w:rPr>
        <w:t>s 1, 4, 8, 17 sowie (7) und (16).</w:t>
      </w:r>
    </w:p>
    <w:p w14:paraId="39C8EAC6" w14:textId="77777777" w:rsidR="00D711C3" w:rsidRPr="00D711C3" w:rsidRDefault="00D711C3" w:rsidP="00D711C3">
      <w:pPr>
        <w:rPr>
          <w:lang w:val="de-DE"/>
        </w:rPr>
      </w:pPr>
      <w:r w:rsidRPr="00D711C3">
        <w:rPr>
          <w:lang w:val="de-DE"/>
        </w:rPr>
        <w:t>Nimmt man die häufig geäußerten Aussagen von Teilnehmenden als Ausgangspunkt – nämlich das erlebte Gefühl der Sinnlosigkeit, wenn sie vom Jobcenter in ein bestimmtes Modul geschickt werden – wirkt dies sowohl kontraintuitiv in Bezug auf die Förderung der individuellen Handlungskompetenz (Self-</w:t>
      </w:r>
      <w:proofErr w:type="spellStart"/>
      <w:r w:rsidRPr="00D711C3">
        <w:rPr>
          <w:lang w:val="de-DE"/>
        </w:rPr>
        <w:t>Efficacy</w:t>
      </w:r>
      <w:proofErr w:type="spellEnd"/>
      <w:r w:rsidRPr="00D711C3">
        <w:rPr>
          <w:lang w:val="de-DE"/>
        </w:rPr>
        <w:t>) als auch kontraproduktiv für die individuelle und gesellschaftliche Nachhaltigkeit im Sinne der genannten SDGs.</w:t>
      </w:r>
    </w:p>
    <w:p w14:paraId="6BE371F6" w14:textId="77777777" w:rsidR="00D711C3" w:rsidRPr="00D711C3" w:rsidRDefault="00D711C3" w:rsidP="00D711C3">
      <w:pPr>
        <w:rPr>
          <w:lang w:val="de-DE"/>
        </w:rPr>
      </w:pPr>
      <w:r w:rsidRPr="00D711C3">
        <w:rPr>
          <w:lang w:val="de-DE"/>
        </w:rPr>
        <w:t>Das Jobcenter übt als Behörde Macht aus, anstatt eine Dienstleistung zu erbringen. Das bedeutet, dass die betroffene Person das Gefühl hat, ihr würden Rechte, Selbstbestimmung, Initiative und Motivation genommen, selbst zur Problemlösung beizutragen. Wir benötigen Hilfe zur Selbsthilfe – doch stattdessen wird (hoffentlich unbeabsichtigt) erlernte Hilflosigkeit vermittelt.</w:t>
      </w:r>
    </w:p>
    <w:p w14:paraId="0F97E7E0" w14:textId="77777777" w:rsidR="00D711C3" w:rsidRPr="00D711C3" w:rsidRDefault="00D711C3" w:rsidP="00D711C3">
      <w:pPr>
        <w:rPr>
          <w:lang w:val="de-DE"/>
        </w:rPr>
      </w:pPr>
      <w:r w:rsidRPr="00D711C3">
        <w:rPr>
          <w:lang w:val="de-DE"/>
        </w:rPr>
        <w:t>Dies führt zu Minuspunkten sowohl auf der SDG-Skala als auch auf der UNESCO-Skala.</w:t>
      </w:r>
    </w:p>
    <w:p w14:paraId="729DC498" w14:textId="77777777" w:rsidR="00D711C3" w:rsidRDefault="00D711C3" w:rsidP="00B05074">
      <w:pPr>
        <w:rPr>
          <w:lang w:val="de-DE"/>
        </w:rPr>
      </w:pPr>
    </w:p>
    <w:p w14:paraId="72FAC953" w14:textId="77777777" w:rsidR="005C0731" w:rsidRDefault="005C0731" w:rsidP="00B05074">
      <w:pPr>
        <w:rPr>
          <w:lang w:val="de-DE"/>
        </w:rPr>
      </w:pPr>
    </w:p>
    <w:p w14:paraId="712629C4" w14:textId="52243232" w:rsidR="00AE04C9" w:rsidRPr="00B0754B" w:rsidRDefault="00AE04C9" w:rsidP="00AE04C9">
      <w:pPr>
        <w:pStyle w:val="Overskrift2"/>
        <w:rPr>
          <w:lang w:val="de-DE"/>
        </w:rPr>
      </w:pPr>
      <w:r w:rsidRPr="00B0754B">
        <w:rPr>
          <w:lang w:val="de-DE"/>
        </w:rPr>
        <w:lastRenderedPageBreak/>
        <w:t>Didaktische Intervention</w:t>
      </w:r>
    </w:p>
    <w:p w14:paraId="561EB76D" w14:textId="77777777" w:rsidR="00A65682" w:rsidRPr="00A65682" w:rsidRDefault="00A65682" w:rsidP="00A65682">
      <w:pPr>
        <w:rPr>
          <w:lang w:val="de-DE"/>
        </w:rPr>
      </w:pPr>
      <w:r w:rsidRPr="00A65682">
        <w:rPr>
          <w:lang w:val="de-DE"/>
        </w:rPr>
        <w:t>Genau dies soll durch eine didaktische Intervention korrigiert werden. Man darf jedoch nicht übersehen, dass diese Situation zwei Seiten hat. Die eine Seite wurde bereits beschrieben: dass die Bürgerin bzw. der Bürger durch die Behörden entmündigt wird. Dies ist jedoch nur eine einseitige Hypothese, denn ebenso gut kann es sein, dass die Bürgerin oder der Bürger die eigene Situation aus einer hilflosen Haltung heraus betrachtet und erwartet, dass die Behörde sie oder ihn in Arbeit bringt.</w:t>
      </w:r>
    </w:p>
    <w:p w14:paraId="736FBE11" w14:textId="1FEE2FD8" w:rsidR="00A65682" w:rsidRPr="00A65682" w:rsidRDefault="00A65682" w:rsidP="00A65682">
      <w:pPr>
        <w:rPr>
          <w:lang w:val="de-DE"/>
        </w:rPr>
      </w:pPr>
      <w:r w:rsidRPr="00A65682">
        <w:rPr>
          <w:lang w:val="de-DE"/>
        </w:rPr>
        <w:t>Das Jobcenter steht vermutlich vor derselben Ambivalenz – eine klassische kybernetische Blindheit. Um ein realistischeres Bild zu erhalten, eignet sich der doppelte Diamant</w:t>
      </w:r>
      <w:r w:rsidR="007E5718">
        <w:rPr>
          <w:rStyle w:val="Fodnotehenvisning"/>
          <w:lang w:val="de-DE"/>
        </w:rPr>
        <w:footnoteReference w:id="5"/>
      </w:r>
      <w:r w:rsidRPr="00A65682">
        <w:rPr>
          <w:lang w:val="de-DE"/>
        </w:rPr>
        <w:t xml:space="preserve"> in Kombination mit einem passenden Fragerahmen als hilfreiches Werkzeug, um den individuellen Kern der jeweiligen Situation – und damit die Lösung – zu identifizieren.</w:t>
      </w:r>
    </w:p>
    <w:p w14:paraId="20DB7A7A" w14:textId="7DD37FF2" w:rsidR="00A65682" w:rsidRPr="00A65682" w:rsidRDefault="00A65682" w:rsidP="00A65682">
      <w:pPr>
        <w:rPr>
          <w:lang w:val="de-DE"/>
        </w:rPr>
      </w:pPr>
      <w:r w:rsidRPr="00A65682">
        <w:rPr>
          <w:lang w:val="de-DE"/>
        </w:rPr>
        <w:t>Der doppelte Diamant bildet die Landkarte. Der Inhalt dieser Landkarte</w:t>
      </w:r>
      <w:r w:rsidR="006A1B64">
        <w:rPr>
          <w:rStyle w:val="Fodnotehenvisning"/>
          <w:lang w:val="de-DE"/>
        </w:rPr>
        <w:footnoteReference w:id="6"/>
      </w:r>
      <w:r w:rsidRPr="00A65682">
        <w:rPr>
          <w:lang w:val="de-DE"/>
        </w:rPr>
        <w:t xml:space="preserve"> entsteht kommunikativ durch einen geeigneten Fragerahmen mit sowohl klärenden als auch entwickelnden Fragen, beispielsweise nach Karl Tomm</w:t>
      </w:r>
      <w:r w:rsidR="009C2CBE">
        <w:rPr>
          <w:rStyle w:val="Fodnotehenvisning"/>
        </w:rPr>
        <w:footnoteReference w:id="7"/>
      </w:r>
      <w:r w:rsidRPr="00A65682">
        <w:rPr>
          <w:lang w:val="de-DE"/>
        </w:rPr>
        <w:t>. Auf diese Weise lässt sich für die einzelne Person eine geeignete Form der „</w:t>
      </w:r>
      <w:proofErr w:type="spellStart"/>
      <w:r w:rsidRPr="00A65682">
        <w:rPr>
          <w:lang w:val="de-DE"/>
        </w:rPr>
        <w:t>Scaffolding</w:t>
      </w:r>
      <w:proofErr w:type="spellEnd"/>
      <w:r w:rsidRPr="00A65682">
        <w:rPr>
          <w:lang w:val="de-DE"/>
        </w:rPr>
        <w:t>“ bereitstellen – also eine Anleitung durch NUZO</w:t>
      </w:r>
      <w:r w:rsidR="009C2CBE">
        <w:rPr>
          <w:rStyle w:val="Fodnotehenvisning"/>
        </w:rPr>
        <w:footnoteReference w:id="8"/>
      </w:r>
      <w:r w:rsidRPr="00A65682">
        <w:rPr>
          <w:lang w:val="de-DE"/>
        </w:rPr>
        <w:t>, um sowohl Kompetenz- als auch Bewältigungsentwicklung zu fördern. Es geht dabei um NUZO im Bereich der persönlichen Entwicklung, nicht der fachlichen.</w:t>
      </w:r>
    </w:p>
    <w:p w14:paraId="1EF66E2B" w14:textId="7B411530" w:rsidR="00A65682" w:rsidRPr="00A65682" w:rsidRDefault="00A65682" w:rsidP="00A65682">
      <w:pPr>
        <w:rPr>
          <w:lang w:val="de-DE"/>
        </w:rPr>
      </w:pPr>
      <w:r w:rsidRPr="00A65682">
        <w:rPr>
          <w:lang w:val="de-DE"/>
        </w:rPr>
        <w:t>Die Hoffnung ist, dass die Methode die Existenz der kybernetischen</w:t>
      </w:r>
      <w:r w:rsidR="00C3336B">
        <w:rPr>
          <w:rStyle w:val="Fodnotehenvisning"/>
        </w:rPr>
        <w:footnoteReference w:id="9"/>
      </w:r>
      <w:r w:rsidR="00C3336B" w:rsidRPr="00C3336B">
        <w:rPr>
          <w:lang w:val="de-DE"/>
        </w:rPr>
        <w:t xml:space="preserve"> </w:t>
      </w:r>
      <w:r w:rsidRPr="00A65682">
        <w:rPr>
          <w:lang w:val="de-DE"/>
        </w:rPr>
        <w:t xml:space="preserve"> Blindheit zweiter Ordnung für alle Beteiligten sichtbar macht – und damit auch die Existenz der jeweils eigenen selbstreferentiellen Rahmen. Nur durch die (An-)Erkennung der eigenen Begrenztheit und der ebenso (il)legitimen Perspektiven der anderen kann Entwicklung stattfinden.</w:t>
      </w:r>
    </w:p>
    <w:p w14:paraId="6EED24E9" w14:textId="77777777" w:rsidR="00A65682" w:rsidRDefault="00A65682" w:rsidP="00A65682">
      <w:pPr>
        <w:rPr>
          <w:lang w:val="de-DE"/>
        </w:rPr>
      </w:pPr>
      <w:r w:rsidRPr="00A65682">
        <w:rPr>
          <w:lang w:val="de-DE"/>
        </w:rPr>
        <w:t>Ein zusätzlicher Hoffnungsschimmer besteht darin, dass die Teilnehmenden dadurch die Chance erkennen, die in der zunächst empfundenen Sinnlosigkeit des zugewiesenen Kursverlaufs liegt.</w:t>
      </w:r>
    </w:p>
    <w:p w14:paraId="5AE063FB" w14:textId="77777777" w:rsidR="00C3336B" w:rsidRDefault="00C3336B" w:rsidP="00A65682">
      <w:pPr>
        <w:rPr>
          <w:lang w:val="de-DE"/>
        </w:rPr>
      </w:pPr>
    </w:p>
    <w:p w14:paraId="5EDAF99A" w14:textId="77777777" w:rsidR="00C3336B" w:rsidRDefault="00C3336B" w:rsidP="00A65682">
      <w:pPr>
        <w:rPr>
          <w:lang w:val="de-DE"/>
        </w:rPr>
      </w:pPr>
    </w:p>
    <w:p w14:paraId="3A926361" w14:textId="77777777" w:rsidR="00C3336B" w:rsidRDefault="00C3336B" w:rsidP="00A65682">
      <w:pPr>
        <w:rPr>
          <w:lang w:val="de-DE"/>
        </w:rPr>
      </w:pPr>
    </w:p>
    <w:p w14:paraId="6DE46F2A" w14:textId="77777777" w:rsidR="00C3336B" w:rsidRPr="00A65682" w:rsidRDefault="00C3336B" w:rsidP="00A65682">
      <w:pPr>
        <w:rPr>
          <w:lang w:val="de-DE"/>
        </w:rPr>
      </w:pPr>
    </w:p>
    <w:p w14:paraId="007D1297" w14:textId="77777777" w:rsidR="00A65682" w:rsidRPr="00A65682" w:rsidRDefault="00A65682" w:rsidP="00B05074">
      <w:pPr>
        <w:rPr>
          <w:lang w:val="de-DE"/>
        </w:rPr>
      </w:pPr>
    </w:p>
    <w:p w14:paraId="6DA6454D" w14:textId="77777777" w:rsidR="00C64942" w:rsidRDefault="00C64942" w:rsidP="00C64942">
      <w:pPr>
        <w:pStyle w:val="Overskrift2"/>
        <w:rPr>
          <w:lang w:val="de-DE"/>
        </w:rPr>
      </w:pPr>
      <w:r w:rsidRPr="00C64942">
        <w:rPr>
          <w:lang w:val="de-DE"/>
        </w:rPr>
        <w:t>Wie gehen wir vor und was können wir erwarten?</w:t>
      </w:r>
    </w:p>
    <w:p w14:paraId="55CA59A1" w14:textId="77777777" w:rsidR="00C64942" w:rsidRPr="00C64942" w:rsidRDefault="00C64942" w:rsidP="00C64942">
      <w:pPr>
        <w:rPr>
          <w:lang w:val="de-DE"/>
        </w:rPr>
      </w:pPr>
      <w:r w:rsidRPr="00C64942">
        <w:rPr>
          <w:lang w:val="de-DE"/>
        </w:rPr>
        <w:t>Es gibt verschiedene methodische Ansätze, um die gewünschte Entwicklung zu fördern – abhängig davon, ob die Teilnehmenden physisch anwesend sind (im E</w:t>
      </w:r>
      <w:r w:rsidRPr="00C64942">
        <w:rPr>
          <w:lang w:val="de-DE"/>
        </w:rPr>
        <w:noBreakHyphen/>
        <w:t>Learning</w:t>
      </w:r>
      <w:r w:rsidRPr="00C64942">
        <w:rPr>
          <w:lang w:val="de-DE"/>
        </w:rPr>
        <w:noBreakHyphen/>
        <w:t>Center) oder als Fernkursteilnehmende teilnehmen. Bei Fernkursteilnehmenden steht uns in erster Linie „nur“ das Telefon als Medium zur Verfügung; ergänzend können wir ihre Aktivitätslogs einsehen. Bei physisch anwesenden Teilnehmenden können wir zusätzlich die gesamte Palette an Beobachterrollen nutzen und nonverbale Signale entschlüsseln.</w:t>
      </w:r>
    </w:p>
    <w:p w14:paraId="4EDD5685" w14:textId="77777777" w:rsidR="00C64942" w:rsidRPr="00C64942" w:rsidRDefault="00C64942" w:rsidP="00C64942">
      <w:pPr>
        <w:rPr>
          <w:lang w:val="de-DE"/>
        </w:rPr>
      </w:pPr>
      <w:r w:rsidRPr="00C64942">
        <w:rPr>
          <w:lang w:val="de-DE"/>
        </w:rPr>
        <w:t>In beiden Fällen sollten wir eine rezeptive und nicht lediglich kommunikative Gesprächsführung anstreben – also einen stärker coachenden Ansatz zur Förderung transformativer Lern- und Entwicklungsprozesse. Mehr dazu im mündlichen Teil.</w:t>
      </w:r>
    </w:p>
    <w:p w14:paraId="1C4D0EC6" w14:textId="77777777" w:rsidR="00C64942" w:rsidRPr="00C64942" w:rsidRDefault="00C64942" w:rsidP="00C64942">
      <w:pPr>
        <w:rPr>
          <w:lang w:val="de-DE"/>
        </w:rPr>
      </w:pPr>
      <w:r w:rsidRPr="00C64942">
        <w:rPr>
          <w:lang w:val="de-DE"/>
        </w:rPr>
        <w:t>Es ist hervorzuheben, dass wir diese Intervention ausschließlich in der Beziehung zwischen den Teilnehmenden und uns als Berater durchführen können. Das Verhältnis zwischen Bürgerinnen und Bürgern (unseren Teilnehmenden) und den Jobcentern wird nur über deren Erzählungen berücksichtigt.</w:t>
      </w:r>
    </w:p>
    <w:p w14:paraId="533C8F54" w14:textId="77777777" w:rsidR="00C64942" w:rsidRPr="00C64942" w:rsidRDefault="00C64942" w:rsidP="00C64942">
      <w:pPr>
        <w:rPr>
          <w:lang w:val="de-DE"/>
        </w:rPr>
      </w:pPr>
      <w:r w:rsidRPr="00C64942">
        <w:rPr>
          <w:lang w:val="de-DE"/>
        </w:rPr>
        <w:t>Eine weitere Besonderheit besteht darin, dass die Intervention scheinbar informell und sporadisch erfolgt. Informell deshalb, weil die einzelne Person nicht unbedingt erkennt, dass das „plötzlich“ entstandene Gespräch keineswegs zufällig ist, sondern eine bewusst genutzte Gelegenheit seitens der Beraterin oder des Beraters.</w:t>
      </w:r>
    </w:p>
    <w:p w14:paraId="1086F4C0" w14:textId="42F28714" w:rsidR="00FA57C4" w:rsidRPr="00FA57C4" w:rsidRDefault="00FA57C4" w:rsidP="00FA57C4">
      <w:pPr>
        <w:rPr>
          <w:lang w:val="de-DE"/>
        </w:rPr>
      </w:pPr>
      <w:r w:rsidRPr="00FA57C4">
        <w:rPr>
          <w:lang w:val="de-DE"/>
        </w:rPr>
        <w:t>Die didaktische Leitlinie ist Anne Kirketerps „Unternehmungsdidaktik“</w:t>
      </w:r>
      <w:r w:rsidR="00662C7F" w:rsidRPr="00662C7F">
        <w:rPr>
          <w:rStyle w:val="Fodnotehenvisning"/>
          <w:lang w:val="de-DE"/>
        </w:rPr>
        <w:t xml:space="preserve"> </w:t>
      </w:r>
      <w:r w:rsidR="00662C7F">
        <w:rPr>
          <w:rStyle w:val="Fodnotehenvisning"/>
        </w:rPr>
        <w:footnoteReference w:id="10"/>
      </w:r>
      <w:r w:rsidRPr="00FA57C4">
        <w:rPr>
          <w:lang w:val="de-DE"/>
        </w:rPr>
        <w:t>. Eines der Grundprinzipien ist das, was Kirketerp „den nächsten besten Schritt“ nennt – um von erlebter Hilflosigkeit und Sinnlosigkeit zu unternehmerischem Handeln zu gelangen. Auch hierzu mehr im mündlichen Teil.</w:t>
      </w:r>
    </w:p>
    <w:p w14:paraId="2468350E" w14:textId="77777777" w:rsidR="00FA57C4" w:rsidRPr="00FA57C4" w:rsidRDefault="00FA57C4" w:rsidP="00FA57C4">
      <w:pPr>
        <w:rPr>
          <w:lang w:val="de-DE"/>
        </w:rPr>
      </w:pPr>
      <w:r w:rsidRPr="00FA57C4">
        <w:rPr>
          <w:lang w:val="de-DE"/>
        </w:rPr>
        <w:t>Das Ziel besteht darin, die nachhaltige Wirkung sowohl für die einzelne Person als auch für die Gesellschaft zu erhöhen, indem die Schlüsselkompetenzen der Teilnehmenden (insbesondere die Handlungskompetenz) gestärkt werden und dadurch die Umsetzung der genannten SDGs gefördert wird. Die Intervention ist daher als wertschöpfende Ergänzung zum Werkzeugkasten der Beraterinnen und Berater zu verstehen.</w:t>
      </w:r>
    </w:p>
    <w:p w14:paraId="4CC8229E" w14:textId="77777777" w:rsidR="00FA57C4" w:rsidRPr="00FA57C4" w:rsidRDefault="00FA57C4" w:rsidP="00FA57C4">
      <w:pPr>
        <w:rPr>
          <w:lang w:val="de-DE"/>
        </w:rPr>
      </w:pPr>
      <w:r w:rsidRPr="00FA57C4">
        <w:rPr>
          <w:lang w:val="de-DE"/>
        </w:rPr>
        <w:t>Ich selbst erprobe die Methoden fortlaufend im Alltag sowohl im E</w:t>
      </w:r>
      <w:r w:rsidRPr="00FA57C4">
        <w:rPr>
          <w:lang w:val="de-DE"/>
        </w:rPr>
        <w:noBreakHyphen/>
        <w:t>Learning</w:t>
      </w:r>
      <w:r w:rsidRPr="00FA57C4">
        <w:rPr>
          <w:lang w:val="de-DE"/>
        </w:rPr>
        <w:noBreakHyphen/>
        <w:t>Center als auch mit Fernkursteilnehmenden. Eine systematische Wirkungsmessung war bislang nicht möglich – außer den unmittelbaren Rückmeldungen der Teilnehmenden in Form von Dank für die hilfreichen Gespräche.</w:t>
      </w:r>
    </w:p>
    <w:p w14:paraId="34E4DAA5" w14:textId="77777777" w:rsidR="00FA57C4" w:rsidRPr="00FA57C4" w:rsidRDefault="00FA57C4" w:rsidP="00FA57C4">
      <w:pPr>
        <w:rPr>
          <w:lang w:val="de-DE"/>
        </w:rPr>
      </w:pPr>
      <w:r w:rsidRPr="00FA57C4">
        <w:rPr>
          <w:lang w:val="de-DE"/>
        </w:rPr>
        <w:lastRenderedPageBreak/>
        <w:t>Die kurzfristigen Erfolgskriterien und Messpunkte sind rein qualitativer und subjektiver Natur und lassen sich nur durch die unmittelbaren Rückmeldungen der Teilnehmenden erfassen. Die Hoffnung ist, dass sich der Erfolg langfristig verifizieren lässt und nicht auf diesen Kontext beschränkt bleibt, sondern auf andere Lernumgebungen übertragbar ist – und damit in den Standardwerkzeugkasten der Beraterinnen und Berater im IBC 360 E</w:t>
      </w:r>
      <w:r w:rsidRPr="00FA57C4">
        <w:rPr>
          <w:lang w:val="de-DE"/>
        </w:rPr>
        <w:noBreakHyphen/>
        <w:t>Learning Center und im IBC Fernunterricht aufgenommen werden kann.</w:t>
      </w:r>
    </w:p>
    <w:p w14:paraId="4AA4BE36" w14:textId="77777777" w:rsidR="00FA57C4" w:rsidRPr="00FA57C4" w:rsidRDefault="00FA57C4" w:rsidP="00FA57C4">
      <w:pPr>
        <w:rPr>
          <w:lang w:val="de-DE"/>
        </w:rPr>
      </w:pPr>
      <w:r w:rsidRPr="00FA57C4">
        <w:rPr>
          <w:lang w:val="de-DE"/>
        </w:rPr>
        <w:t>Darüber hinaus besteht weiterhin die Hoffnung, dass sich die Intervention weiter in der Gesellschaft ausbreitet – in Form handlungskompetenterer Bürgerinnen und Bürger – und damit zur Umsetzung der genannten SDGs beiträgt.</w:t>
      </w:r>
    </w:p>
    <w:p w14:paraId="79DBA44E" w14:textId="4AEB1B4C" w:rsidR="00C64942" w:rsidRPr="00C64942" w:rsidRDefault="00FA57C4" w:rsidP="00C64942">
      <w:pPr>
        <w:rPr>
          <w:lang w:val="de-DE"/>
        </w:rPr>
      </w:pPr>
      <w:r w:rsidRPr="00FA57C4">
        <w:rPr>
          <w:lang w:val="de-DE"/>
        </w:rPr>
        <w:t>Nicht zuletzt lohnt es sich, die Perspektive einzunehmen, dass sich IBC 360 und IBC Fernkurse mit diesem didaktischen Zusatz besser als wertschöpfende Sparringspartner für ein dreifaches (Geschäfts</w:t>
      </w:r>
      <w:proofErr w:type="gramStart"/>
      <w:r w:rsidRPr="00FA57C4">
        <w:rPr>
          <w:lang w:val="de-DE"/>
        </w:rPr>
        <w:noBreakHyphen/>
        <w:t>)Modell</w:t>
      </w:r>
      <w:proofErr w:type="gramEnd"/>
      <w:r w:rsidR="00662C7F">
        <w:rPr>
          <w:rStyle w:val="Fodnotehenvisning"/>
        </w:rPr>
        <w:footnoteReference w:id="11"/>
      </w:r>
      <w:r w:rsidRPr="00FA57C4">
        <w:rPr>
          <w:lang w:val="de-DE"/>
        </w:rPr>
        <w:t xml:space="preserve"> auf allen drei ESG</w:t>
      </w:r>
      <w:r w:rsidRPr="00FA57C4">
        <w:rPr>
          <w:lang w:val="de-DE"/>
        </w:rPr>
        <w:noBreakHyphen/>
        <w:t xml:space="preserve">Parametern profilieren können. </w:t>
      </w:r>
      <w:r w:rsidRPr="006C195C">
        <w:rPr>
          <w:lang w:val="de-DE"/>
        </w:rPr>
        <w:t>Doch dies ist der nächste Schritt.</w:t>
      </w:r>
    </w:p>
    <w:p w14:paraId="172B005F" w14:textId="53AA7F7E" w:rsidR="00C64942" w:rsidRDefault="006C195C" w:rsidP="00C64942">
      <w:pPr>
        <w:rPr>
          <w:lang w:val="de-DE"/>
        </w:rPr>
      </w:pPr>
      <w:r w:rsidRPr="006C195C">
        <w:rPr>
          <w:lang w:val="de-DE"/>
        </w:rPr>
        <w:t>Abschließend dient die jüngste abteilungsübergreifende Evaluation als Indikation und vorsichtiger Orientierungspunkt dafür, wie das Konzept von den rückmeldenden Teilnehmenden aufgenommen wird.</w:t>
      </w:r>
    </w:p>
    <w:p w14:paraId="0ADF7613" w14:textId="77777777" w:rsidR="00564EA6" w:rsidRDefault="00564EA6" w:rsidP="00C64942">
      <w:pPr>
        <w:rPr>
          <w:lang w:val="de-DE"/>
        </w:rPr>
      </w:pPr>
    </w:p>
    <w:p w14:paraId="4D2630E2" w14:textId="77777777" w:rsidR="00564EA6" w:rsidRDefault="00564EA6" w:rsidP="00C64942">
      <w:pPr>
        <w:rPr>
          <w:lang w:val="de-DE"/>
        </w:rPr>
      </w:pPr>
    </w:p>
    <w:p w14:paraId="7EBC3A59" w14:textId="77777777" w:rsidR="00564EA6" w:rsidRDefault="00564EA6" w:rsidP="00C64942">
      <w:pPr>
        <w:rPr>
          <w:lang w:val="de-DE"/>
        </w:rPr>
      </w:pPr>
    </w:p>
    <w:p w14:paraId="1B9EFB1B" w14:textId="77777777" w:rsidR="00564EA6" w:rsidRDefault="00564EA6" w:rsidP="00C64942">
      <w:pPr>
        <w:rPr>
          <w:lang w:val="de-DE"/>
        </w:rPr>
      </w:pPr>
    </w:p>
    <w:p w14:paraId="44D3A836" w14:textId="77777777" w:rsidR="00564EA6" w:rsidRDefault="00564EA6" w:rsidP="00C64942">
      <w:pPr>
        <w:rPr>
          <w:lang w:val="de-DE"/>
        </w:rPr>
      </w:pPr>
    </w:p>
    <w:p w14:paraId="337D2641" w14:textId="77777777" w:rsidR="00564EA6" w:rsidRDefault="00564EA6" w:rsidP="00C64942">
      <w:pPr>
        <w:rPr>
          <w:lang w:val="de-DE"/>
        </w:rPr>
      </w:pPr>
    </w:p>
    <w:p w14:paraId="769E20E0" w14:textId="77777777" w:rsidR="00564EA6" w:rsidRDefault="00564EA6" w:rsidP="00C64942">
      <w:pPr>
        <w:rPr>
          <w:lang w:val="de-DE"/>
        </w:rPr>
      </w:pPr>
    </w:p>
    <w:p w14:paraId="2052DADE" w14:textId="77777777" w:rsidR="00564EA6" w:rsidRDefault="00564EA6" w:rsidP="00C64942">
      <w:pPr>
        <w:rPr>
          <w:lang w:val="de-DE"/>
        </w:rPr>
      </w:pPr>
    </w:p>
    <w:p w14:paraId="02C15AB4" w14:textId="77777777" w:rsidR="00564EA6" w:rsidRDefault="00564EA6" w:rsidP="00C64942">
      <w:pPr>
        <w:rPr>
          <w:lang w:val="de-DE"/>
        </w:rPr>
      </w:pPr>
    </w:p>
    <w:p w14:paraId="6902B79C" w14:textId="77777777" w:rsidR="00564EA6" w:rsidRDefault="00564EA6" w:rsidP="00C64942">
      <w:pPr>
        <w:rPr>
          <w:lang w:val="de-DE"/>
        </w:rPr>
      </w:pPr>
    </w:p>
    <w:p w14:paraId="5697E373" w14:textId="77777777" w:rsidR="00564EA6" w:rsidRDefault="00564EA6" w:rsidP="00C64942">
      <w:pPr>
        <w:rPr>
          <w:lang w:val="de-DE"/>
        </w:rPr>
      </w:pPr>
    </w:p>
    <w:p w14:paraId="692AD984" w14:textId="77777777" w:rsidR="00564EA6" w:rsidRDefault="00564EA6" w:rsidP="00C64942">
      <w:pPr>
        <w:rPr>
          <w:lang w:val="de-DE"/>
        </w:rPr>
      </w:pPr>
    </w:p>
    <w:p w14:paraId="6DCA2D1E" w14:textId="77777777" w:rsidR="00564EA6" w:rsidRDefault="00564EA6" w:rsidP="00C64942">
      <w:pPr>
        <w:rPr>
          <w:lang w:val="de-DE"/>
        </w:rPr>
      </w:pPr>
    </w:p>
    <w:p w14:paraId="108A4E3C" w14:textId="5FA8E7B9" w:rsidR="00564EA6" w:rsidRDefault="00564EA6" w:rsidP="00C64942">
      <w:pPr>
        <w:rPr>
          <w:sz w:val="40"/>
          <w:szCs w:val="40"/>
          <w:lang w:val="de-DE"/>
        </w:rPr>
      </w:pPr>
      <w:r>
        <w:rPr>
          <w:sz w:val="40"/>
          <w:szCs w:val="40"/>
          <w:lang w:val="de-DE"/>
        </w:rPr>
        <w:lastRenderedPageBreak/>
        <w:t>Quellen</w:t>
      </w:r>
    </w:p>
    <w:p w14:paraId="6D5CFE43" w14:textId="77777777" w:rsidR="00B524E4" w:rsidRPr="00833897" w:rsidRDefault="00B524E4" w:rsidP="00D45168">
      <w:pPr>
        <w:pStyle w:val="Fodnotetekst"/>
      </w:pPr>
      <w:r w:rsidRPr="00833897">
        <w:t xml:space="preserve">2. </w:t>
      </w:r>
      <w:r w:rsidRPr="00833897">
        <w:t>ordens kybernetiske: Kybernetik er læren om kontrol og udveksling af informationer. 2. ordens kybernetik betegner således kontrol af kontrolløren (iflg. Niklas Luhmann og hans teori om sociale systemer).</w:t>
      </w:r>
    </w:p>
    <w:p w14:paraId="2393430F" w14:textId="77777777" w:rsidR="00D45168" w:rsidRDefault="00D45168" w:rsidP="00D45168">
      <w:pPr>
        <w:pStyle w:val="Fodnotetekst"/>
      </w:pPr>
    </w:p>
    <w:p w14:paraId="63804D85" w14:textId="77777777" w:rsidR="00B524E4" w:rsidRPr="00833897" w:rsidRDefault="00B524E4" w:rsidP="00D45168">
      <w:pPr>
        <w:pStyle w:val="Fodnotetekst"/>
      </w:pPr>
      <w:r w:rsidRPr="00833897">
        <w:t xml:space="preserve">Anne Kirketerps ”Foretagsomhedsdidaktik”: Kirketerp, Anne. </w:t>
      </w:r>
      <w:r w:rsidRPr="00833897">
        <w:t xml:space="preserve">Kilde: </w:t>
      </w:r>
      <w:hyperlink r:id="rId11" w:history="1">
        <w:r w:rsidRPr="00833897">
          <w:rPr>
            <w:rStyle w:val="Hyperlink"/>
          </w:rPr>
          <w:t>PowerPoint-</w:t>
        </w:r>
      </w:hyperlink>
      <w:hyperlink r:id="rId12" w:history="1">
        <w:r w:rsidRPr="00833897">
          <w:rPr>
            <w:rStyle w:val="Hyperlink"/>
          </w:rPr>
          <w:t>præsentation</w:t>
        </w:r>
      </w:hyperlink>
    </w:p>
    <w:p w14:paraId="4C2AD490" w14:textId="77777777" w:rsidR="00D45168" w:rsidRDefault="00D45168" w:rsidP="00D45168">
      <w:pPr>
        <w:pStyle w:val="Fodnotetekst"/>
      </w:pPr>
    </w:p>
    <w:p w14:paraId="22296BB6" w14:textId="77777777" w:rsidR="00B524E4" w:rsidRPr="00833897" w:rsidRDefault="00B524E4" w:rsidP="00D45168">
      <w:pPr>
        <w:pStyle w:val="Fodnotetekst"/>
      </w:pPr>
      <w:r w:rsidRPr="00833897">
        <w:t xml:space="preserve">Den dobbelte diamant: The Double Diamond udviklet af British Design Council. Læs mere om modellen her: </w:t>
      </w:r>
      <w:hyperlink r:id="rId13" w:history="1">
        <w:r w:rsidRPr="00833897">
          <w:rPr>
            <w:rStyle w:val="Hyperlink"/>
          </w:rPr>
          <w:t>https://www.designpsykologi.dk/hvad-er-double-diamond</w:t>
        </w:r>
      </w:hyperlink>
    </w:p>
    <w:p w14:paraId="2A15DEF7" w14:textId="77777777" w:rsidR="00D45168" w:rsidRDefault="00D45168" w:rsidP="00D45168">
      <w:pPr>
        <w:pStyle w:val="Fodnotetekst"/>
      </w:pPr>
    </w:p>
    <w:p w14:paraId="241765E6" w14:textId="77777777" w:rsidR="00B524E4" w:rsidRPr="00833897" w:rsidRDefault="00B524E4" w:rsidP="00D45168">
      <w:pPr>
        <w:pStyle w:val="Fodnotetekst"/>
      </w:pPr>
      <w:r w:rsidRPr="00833897">
        <w:t>Den tredobbelte forretningsmodel og BMC</w:t>
      </w:r>
      <w:r w:rsidRPr="00833897">
        <w:rPr>
          <w:b/>
          <w:bCs/>
        </w:rPr>
        <w:t xml:space="preserve">: </w:t>
      </w:r>
      <w:hyperlink r:id="rId14" w:history="1">
        <w:r w:rsidRPr="00833897">
          <w:rPr>
            <w:rStyle w:val="Hyperlink"/>
          </w:rPr>
          <w:t xml:space="preserve">Det tredobbelte Business Model </w:t>
        </w:r>
      </w:hyperlink>
      <w:hyperlink r:id="rId15" w:history="1">
        <w:proofErr w:type="spellStart"/>
        <w:r w:rsidRPr="00833897">
          <w:rPr>
            <w:rStyle w:val="Hyperlink"/>
          </w:rPr>
          <w:t>Canvas</w:t>
        </w:r>
        <w:proofErr w:type="spellEnd"/>
      </w:hyperlink>
      <w:hyperlink r:id="rId16" w:history="1">
        <w:r w:rsidRPr="00833897">
          <w:rPr>
            <w:rStyle w:val="Hyperlink"/>
          </w:rPr>
          <w:t xml:space="preserve"> – et værktøj til at designe mere bæredygtige forretningsmodeller | Bæredygtig forretnings Model.</w:t>
        </w:r>
      </w:hyperlink>
      <w:hyperlink r:id="rId17" w:history="1">
        <w:r w:rsidRPr="00833897">
          <w:rPr>
            <w:rStyle w:val="Hyperlink"/>
          </w:rPr>
          <w:t>org</w:t>
        </w:r>
      </w:hyperlink>
    </w:p>
    <w:p w14:paraId="30ACFCED" w14:textId="77777777" w:rsidR="00D45168" w:rsidRDefault="00D45168" w:rsidP="00D45168">
      <w:pPr>
        <w:pStyle w:val="Fodnotetekst"/>
        <w:ind w:left="720"/>
      </w:pPr>
    </w:p>
    <w:p w14:paraId="776FD7CD" w14:textId="77777777" w:rsidR="00B524E4" w:rsidRPr="00833897" w:rsidRDefault="00B524E4" w:rsidP="00D45168">
      <w:pPr>
        <w:pStyle w:val="Fodnotetekst"/>
      </w:pPr>
      <w:r w:rsidRPr="00833897">
        <w:t xml:space="preserve">Lysgaard, J., A. </w:t>
      </w:r>
      <w:proofErr w:type="spellStart"/>
      <w:r w:rsidRPr="00833897">
        <w:t>Brückner</w:t>
      </w:r>
      <w:proofErr w:type="spellEnd"/>
      <w:r w:rsidRPr="00833897">
        <w:t xml:space="preserve">, M., </w:t>
      </w:r>
      <w:proofErr w:type="gramStart"/>
      <w:r w:rsidRPr="00833897">
        <w:t>W.(</w:t>
      </w:r>
      <w:proofErr w:type="gramEnd"/>
      <w:r w:rsidRPr="00833897">
        <w:t xml:space="preserve">2022). </w:t>
      </w:r>
      <w:r w:rsidRPr="00833897">
        <w:t xml:space="preserve">"Verdensmål i fokus i undervisning og uddannelse". EMU. </w:t>
      </w:r>
      <w:r w:rsidRPr="00833897">
        <w:t>https://emu.dk/verdensmaal-iundervisningen/ perspektiver-paa-verdensmaal-i-undervisning/verdensmaal-i-fokus-i</w:t>
      </w:r>
    </w:p>
    <w:p w14:paraId="18B6CD29" w14:textId="77777777" w:rsidR="00D45168" w:rsidRDefault="00D45168" w:rsidP="00D45168">
      <w:pPr>
        <w:pStyle w:val="Fodnotetekst"/>
      </w:pPr>
    </w:p>
    <w:p w14:paraId="37E950C6" w14:textId="77777777" w:rsidR="00D45168" w:rsidRDefault="00B524E4" w:rsidP="00D45168">
      <w:pPr>
        <w:pStyle w:val="Fodnotetekst"/>
      </w:pPr>
      <w:r w:rsidRPr="00833897">
        <w:t>Nærmeste udviklingszone (</w:t>
      </w:r>
      <w:proofErr w:type="spellStart"/>
      <w:r w:rsidRPr="00833897">
        <w:t>Vygotzgy</w:t>
      </w:r>
      <w:proofErr w:type="spellEnd"/>
      <w:r w:rsidRPr="00833897">
        <w:t xml:space="preserve">). Se f.eks. Hansen, Mogens </w:t>
      </w:r>
      <w:proofErr w:type="spellStart"/>
      <w:proofErr w:type="gramStart"/>
      <w:r w:rsidRPr="00833897">
        <w:t>m.fl</w:t>
      </w:r>
      <w:proofErr w:type="spellEnd"/>
      <w:proofErr w:type="gramEnd"/>
      <w:r w:rsidRPr="00833897">
        <w:t xml:space="preserve"> (1997) Psykologisk pædagogisk ordbog, side 403</w:t>
      </w:r>
    </w:p>
    <w:p w14:paraId="0CCC7C39" w14:textId="77777777" w:rsidR="00D45168" w:rsidRDefault="00D45168" w:rsidP="00D45168">
      <w:pPr>
        <w:pStyle w:val="Fodnotetekst"/>
      </w:pPr>
    </w:p>
    <w:p w14:paraId="1BC64457" w14:textId="77777777" w:rsidR="00B524E4" w:rsidRPr="00833897" w:rsidRDefault="00B524E4" w:rsidP="00D45168">
      <w:pPr>
        <w:pStyle w:val="Fodnotetekst"/>
      </w:pPr>
      <w:r w:rsidRPr="00833897">
        <w:t xml:space="preserve">Staunstrup, Erik </w:t>
      </w:r>
      <w:proofErr w:type="spellStart"/>
      <w:proofErr w:type="gramStart"/>
      <w:r w:rsidRPr="00833897">
        <w:t>m.fl</w:t>
      </w:r>
      <w:proofErr w:type="spellEnd"/>
      <w:proofErr w:type="gramEnd"/>
      <w:r w:rsidRPr="00833897">
        <w:t xml:space="preserve"> (2021), Ledelse i praksis, 5. udgave, side 173-176</w:t>
      </w:r>
    </w:p>
    <w:p w14:paraId="203888D6" w14:textId="77777777" w:rsidR="00D45168" w:rsidRDefault="00D45168" w:rsidP="00D45168">
      <w:pPr>
        <w:pStyle w:val="Fodnotetekst"/>
      </w:pPr>
    </w:p>
    <w:p w14:paraId="33E63B4E" w14:textId="77777777" w:rsidR="00B524E4" w:rsidRPr="00833897" w:rsidRDefault="00B524E4" w:rsidP="00D45168">
      <w:pPr>
        <w:pStyle w:val="Fodnotetekst"/>
      </w:pPr>
      <w:r w:rsidRPr="00833897">
        <w:t xml:space="preserve">Trojka: </w:t>
      </w:r>
      <w:r w:rsidRPr="00833897">
        <w:rPr>
          <w:i/>
          <w:iCs/>
        </w:rPr>
        <w:t xml:space="preserve">Ledelse i praksis, </w:t>
      </w:r>
      <w:r w:rsidRPr="00833897">
        <w:t>5. udgave (2021)</w:t>
      </w:r>
    </w:p>
    <w:p w14:paraId="227DF6B4" w14:textId="77777777" w:rsidR="00D45168" w:rsidRPr="00D45168" w:rsidRDefault="00D45168" w:rsidP="00D45168">
      <w:pPr>
        <w:pStyle w:val="Fodnotetekst"/>
      </w:pPr>
    </w:p>
    <w:p w14:paraId="556E2949" w14:textId="77777777" w:rsidR="00B524E4" w:rsidRPr="00833897" w:rsidRDefault="00B524E4" w:rsidP="00D45168">
      <w:pPr>
        <w:pStyle w:val="Fodnotetekst"/>
        <w:rPr>
          <w:lang w:val="en-US"/>
        </w:rPr>
      </w:pPr>
      <w:r w:rsidRPr="00833897">
        <w:rPr>
          <w:lang w:val="en-US"/>
        </w:rPr>
        <w:t>The Sustainable Development Goals through the lens of ESG Image - ResearchGate.</w:t>
      </w:r>
    </w:p>
    <w:p w14:paraId="7E32C3CF" w14:textId="77777777" w:rsidR="00D45168" w:rsidRDefault="00D45168" w:rsidP="00D45168">
      <w:pPr>
        <w:pStyle w:val="Fodnotetekst"/>
        <w:rPr>
          <w:lang w:val="en-US"/>
        </w:rPr>
      </w:pPr>
    </w:p>
    <w:p w14:paraId="7C8EEAC9" w14:textId="77777777" w:rsidR="00B524E4" w:rsidRPr="00833897" w:rsidRDefault="00B524E4" w:rsidP="00D45168">
      <w:pPr>
        <w:pStyle w:val="Fodnotetekst"/>
      </w:pPr>
      <w:r w:rsidRPr="00833897">
        <w:t xml:space="preserve">UNDP. (2025). De 17 verdensmål for bæredygtig udvikling. UNDP. </w:t>
      </w:r>
      <w:hyperlink r:id="rId18" w:history="1">
        <w:r w:rsidRPr="00833897">
          <w:rPr>
            <w:rStyle w:val="Hyperlink"/>
          </w:rPr>
          <w:t>https://www.verdensmaalene.dk</w:t>
        </w:r>
      </w:hyperlink>
      <w:hyperlink r:id="rId19" w:history="1">
        <w:r w:rsidRPr="00833897">
          <w:rPr>
            <w:rStyle w:val="Hyperlink"/>
          </w:rPr>
          <w:t>/</w:t>
        </w:r>
      </w:hyperlink>
    </w:p>
    <w:p w14:paraId="11D21456" w14:textId="77777777" w:rsidR="00D45168" w:rsidRDefault="00D45168" w:rsidP="00D45168">
      <w:pPr>
        <w:pStyle w:val="Fodnotetekst"/>
      </w:pPr>
    </w:p>
    <w:p w14:paraId="4362EFB3" w14:textId="77777777" w:rsidR="00B524E4" w:rsidRPr="00833897" w:rsidRDefault="00B524E4" w:rsidP="00D45168">
      <w:pPr>
        <w:pStyle w:val="Fodnotetekst"/>
      </w:pPr>
      <w:r w:rsidRPr="00833897">
        <w:t xml:space="preserve">Wahlgren, B. (2010). </w:t>
      </w:r>
      <w:r w:rsidRPr="00833897">
        <w:rPr>
          <w:i/>
          <w:iCs/>
        </w:rPr>
        <w:t>Transfer – kompetence i en professionel sammenhæng</w:t>
      </w:r>
      <w:r w:rsidRPr="00833897">
        <w:t xml:space="preserve">. </w:t>
      </w:r>
      <w:r w:rsidRPr="00833897">
        <w:rPr>
          <w:lang w:val="en-US"/>
        </w:rPr>
        <w:t xml:space="preserve">København: </w:t>
      </w:r>
      <w:proofErr w:type="spellStart"/>
      <w:r w:rsidRPr="00833897">
        <w:rPr>
          <w:lang w:val="en-US"/>
        </w:rPr>
        <w:t>Akademisk</w:t>
      </w:r>
      <w:proofErr w:type="spellEnd"/>
      <w:r w:rsidRPr="00833897">
        <w:rPr>
          <w:lang w:val="en-US"/>
        </w:rPr>
        <w:t xml:space="preserve"> </w:t>
      </w:r>
      <w:proofErr w:type="spellStart"/>
      <w:r w:rsidRPr="00833897">
        <w:rPr>
          <w:lang w:val="en-US"/>
        </w:rPr>
        <w:t>Forlag</w:t>
      </w:r>
      <w:proofErr w:type="spellEnd"/>
      <w:r w:rsidRPr="00833897">
        <w:rPr>
          <w:lang w:val="en-US"/>
        </w:rPr>
        <w:t>.</w:t>
      </w:r>
    </w:p>
    <w:p w14:paraId="2A04F326" w14:textId="77777777" w:rsidR="00564EA6" w:rsidRPr="00564EA6" w:rsidRDefault="00564EA6" w:rsidP="00C64942">
      <w:pPr>
        <w:rPr>
          <w:sz w:val="40"/>
          <w:szCs w:val="40"/>
          <w:lang w:val="de-DE"/>
        </w:rPr>
      </w:pPr>
    </w:p>
    <w:p w14:paraId="39317302" w14:textId="77777777" w:rsidR="00525B0D" w:rsidRPr="00C64942" w:rsidRDefault="00525B0D" w:rsidP="00406FBD">
      <w:pPr>
        <w:rPr>
          <w:lang w:val="de-DE"/>
        </w:rPr>
      </w:pPr>
    </w:p>
    <w:sectPr w:rsidR="00525B0D" w:rsidRPr="00C64942">
      <w:headerReference w:type="default" r:id="rId2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B753" w14:textId="77777777" w:rsidR="00B524E4" w:rsidRDefault="00B524E4" w:rsidP="00B25116">
      <w:pPr>
        <w:spacing w:after="0" w:line="240" w:lineRule="auto"/>
      </w:pPr>
      <w:r>
        <w:separator/>
      </w:r>
    </w:p>
  </w:endnote>
  <w:endnote w:type="continuationSeparator" w:id="0">
    <w:p w14:paraId="79008D17" w14:textId="77777777" w:rsidR="00B524E4" w:rsidRDefault="00B524E4" w:rsidP="00B25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DB093" w14:textId="77777777" w:rsidR="00B524E4" w:rsidRDefault="00B524E4" w:rsidP="00B25116">
      <w:pPr>
        <w:spacing w:after="0" w:line="240" w:lineRule="auto"/>
      </w:pPr>
      <w:r>
        <w:separator/>
      </w:r>
    </w:p>
  </w:footnote>
  <w:footnote w:type="continuationSeparator" w:id="0">
    <w:p w14:paraId="0D7AD146" w14:textId="77777777" w:rsidR="00B524E4" w:rsidRDefault="00B524E4" w:rsidP="00B25116">
      <w:pPr>
        <w:spacing w:after="0" w:line="240" w:lineRule="auto"/>
      </w:pPr>
      <w:r>
        <w:continuationSeparator/>
      </w:r>
    </w:p>
  </w:footnote>
  <w:footnote w:id="1">
    <w:p w14:paraId="2C58849B" w14:textId="5D144109" w:rsidR="00DF7E7D" w:rsidRPr="00DF7E7D" w:rsidRDefault="00DF7E7D">
      <w:pPr>
        <w:pStyle w:val="Fodnotetekst"/>
        <w:rPr>
          <w:lang w:val="de-DE"/>
        </w:rPr>
      </w:pPr>
      <w:r>
        <w:rPr>
          <w:rStyle w:val="Fodnotehenvisning"/>
        </w:rPr>
        <w:footnoteRef/>
      </w:r>
      <w:r w:rsidRPr="00376610">
        <w:t xml:space="preserve"> </w:t>
      </w:r>
      <w:r w:rsidR="00376610" w:rsidRPr="00892DC0">
        <w:t xml:space="preserve">UNDP. (2025). De 17 verdensmål for bæredygtig udvikling. </w:t>
      </w:r>
      <w:r w:rsidR="00376610" w:rsidRPr="00EF543D">
        <w:rPr>
          <w:lang w:val="de-DE"/>
        </w:rPr>
        <w:t>UNDP. https://www.verdensmaalene.dk/</w:t>
      </w:r>
    </w:p>
  </w:footnote>
  <w:footnote w:id="2">
    <w:p w14:paraId="75A20707" w14:textId="16E1D434" w:rsidR="00376610" w:rsidRPr="00376610" w:rsidRDefault="00376610">
      <w:pPr>
        <w:pStyle w:val="Fodnotetekst"/>
      </w:pPr>
      <w:r>
        <w:rPr>
          <w:rStyle w:val="Fodnotehenvisning"/>
        </w:rPr>
        <w:footnoteRef/>
      </w:r>
      <w:r w:rsidRPr="00376610">
        <w:rPr>
          <w:lang w:val="de-DE"/>
        </w:rPr>
        <w:t xml:space="preserve"> </w:t>
      </w:r>
      <w:r w:rsidRPr="00A30F3B">
        <w:rPr>
          <w:lang w:val="de-DE"/>
        </w:rPr>
        <w:t>Lysgaard, J., A. Brückner, M., W.</w:t>
      </w:r>
      <w:r>
        <w:rPr>
          <w:lang w:val="de-DE"/>
        </w:rPr>
        <w:t xml:space="preserve"> </w:t>
      </w:r>
      <w:r w:rsidRPr="00A30F3B">
        <w:rPr>
          <w:lang w:val="de-DE"/>
        </w:rPr>
        <w:t xml:space="preserve">(2022). </w:t>
      </w:r>
      <w:r w:rsidRPr="00A30F3B">
        <w:t>"Verdensmål i fokus i undervisning og uddannelse". EMU. https://emu.dk/verdensmaal-iundervisningen/ perspektiver-paa-verdensmaal-i-undervisning/verdensmaal-i-fokus-i</w:t>
      </w:r>
    </w:p>
  </w:footnote>
  <w:footnote w:id="3">
    <w:p w14:paraId="2CB8281C" w14:textId="67B00689" w:rsidR="004744CE" w:rsidRDefault="004744CE" w:rsidP="004744CE">
      <w:pPr>
        <w:pStyle w:val="Fodnotetekst"/>
      </w:pPr>
      <w:r>
        <w:rPr>
          <w:rStyle w:val="Fodnotehenvisning"/>
        </w:rPr>
        <w:footnoteRef/>
      </w:r>
      <w:r w:rsidRPr="00A30F3B">
        <w:rPr>
          <w:lang w:val="de-DE"/>
        </w:rPr>
        <w:t xml:space="preserve"> Lysgaard, J., A. Brückner, M., W.</w:t>
      </w:r>
      <w:r w:rsidR="00EF7CDC">
        <w:rPr>
          <w:lang w:val="de-DE"/>
        </w:rPr>
        <w:t xml:space="preserve"> </w:t>
      </w:r>
      <w:r w:rsidRPr="00A30F3B">
        <w:rPr>
          <w:lang w:val="de-DE"/>
        </w:rPr>
        <w:t xml:space="preserve">(2022). </w:t>
      </w:r>
      <w:r w:rsidRPr="00A30F3B">
        <w:t>"Verdensmål i fokus i undervisning og uddannelse". EMU. https://emu.dk/verdensmaal-iundervisningen/ perspektiver-paa-verdensmaal-i-undervisning/verdensmaal-i-fokus-i</w:t>
      </w:r>
    </w:p>
  </w:footnote>
  <w:footnote w:id="4">
    <w:p w14:paraId="72DC8DE0" w14:textId="4E32773E" w:rsidR="00E779CE" w:rsidRDefault="00E779CE">
      <w:pPr>
        <w:pStyle w:val="Fodnotetekst"/>
      </w:pPr>
      <w:r>
        <w:rPr>
          <w:rStyle w:val="Fodnotehenvisning"/>
        </w:rPr>
        <w:footnoteRef/>
      </w:r>
      <w:r>
        <w:t xml:space="preserve"> </w:t>
      </w:r>
      <w:r w:rsidRPr="00892DC0">
        <w:t xml:space="preserve">UNDP. (2025). De 17 verdensmål for bæredygtig udvikling. </w:t>
      </w:r>
      <w:r w:rsidRPr="007E5718">
        <w:t>UNDP. https://www.verdensmaalene.dk/</w:t>
      </w:r>
    </w:p>
  </w:footnote>
  <w:footnote w:id="5">
    <w:p w14:paraId="0FAE332F" w14:textId="50F81E19" w:rsidR="007E5718" w:rsidRDefault="007E5718">
      <w:pPr>
        <w:pStyle w:val="Fodnotetekst"/>
      </w:pPr>
      <w:r>
        <w:rPr>
          <w:rStyle w:val="Fodnotehenvisning"/>
        </w:rPr>
        <w:footnoteRef/>
      </w:r>
      <w:r w:rsidRPr="006A1B64">
        <w:rPr>
          <w:lang w:val="en-US"/>
        </w:rPr>
        <w:t xml:space="preserve"> </w:t>
      </w:r>
      <w:r w:rsidR="006A1B64" w:rsidRPr="00892DC0">
        <w:rPr>
          <w:lang w:val="en-US"/>
        </w:rPr>
        <w:t xml:space="preserve">The Double Diamond </w:t>
      </w:r>
      <w:proofErr w:type="spellStart"/>
      <w:r w:rsidR="006A1B64" w:rsidRPr="00892DC0">
        <w:rPr>
          <w:lang w:val="en-US"/>
        </w:rPr>
        <w:t>udviklet</w:t>
      </w:r>
      <w:proofErr w:type="spellEnd"/>
      <w:r w:rsidR="006A1B64" w:rsidRPr="00892DC0">
        <w:rPr>
          <w:lang w:val="en-US"/>
        </w:rPr>
        <w:t xml:space="preserve"> </w:t>
      </w:r>
      <w:proofErr w:type="spellStart"/>
      <w:r w:rsidR="006A1B64" w:rsidRPr="00892DC0">
        <w:rPr>
          <w:lang w:val="en-US"/>
        </w:rPr>
        <w:t>af</w:t>
      </w:r>
      <w:proofErr w:type="spellEnd"/>
      <w:r w:rsidR="006A1B64" w:rsidRPr="00892DC0">
        <w:rPr>
          <w:lang w:val="en-US"/>
        </w:rPr>
        <w:t xml:space="preserve"> British Design Council. </w:t>
      </w:r>
      <w:r w:rsidR="006A1B64" w:rsidRPr="00892DC0">
        <w:t xml:space="preserve">Læs mere om modellen her: </w:t>
      </w:r>
      <w:hyperlink r:id="rId1" w:history="1">
        <w:r w:rsidR="006A1B64" w:rsidRPr="00892DC0">
          <w:rPr>
            <w:rStyle w:val="Hyperlink"/>
          </w:rPr>
          <w:t>https://www.designpsykologi.dk/hvad-er-double-diamond</w:t>
        </w:r>
      </w:hyperlink>
    </w:p>
  </w:footnote>
  <w:footnote w:id="6">
    <w:p w14:paraId="35E07368" w14:textId="65E2354C" w:rsidR="006A1B64" w:rsidRDefault="006A1B64">
      <w:pPr>
        <w:pStyle w:val="Fodnotetekst"/>
      </w:pPr>
      <w:r>
        <w:rPr>
          <w:rStyle w:val="Fodnotehenvisning"/>
        </w:rPr>
        <w:footnoteRef/>
      </w:r>
      <w:r>
        <w:t xml:space="preserve"> </w:t>
      </w:r>
      <w:r w:rsidR="004E5605" w:rsidRPr="00892DC0">
        <w:t xml:space="preserve">Trojka: </w:t>
      </w:r>
      <w:r w:rsidR="004E5605" w:rsidRPr="00892DC0">
        <w:rPr>
          <w:i/>
          <w:iCs/>
        </w:rPr>
        <w:t xml:space="preserve">Ledelse i praksis, </w:t>
      </w:r>
      <w:r w:rsidR="004E5605" w:rsidRPr="00892DC0">
        <w:t>5. udgave (2021)</w:t>
      </w:r>
    </w:p>
  </w:footnote>
  <w:footnote w:id="7">
    <w:p w14:paraId="60002775" w14:textId="77777777" w:rsidR="009C2CBE" w:rsidRDefault="009C2CBE" w:rsidP="009C2CBE">
      <w:pPr>
        <w:pStyle w:val="Fodnotetekst"/>
      </w:pPr>
      <w:r>
        <w:rPr>
          <w:rStyle w:val="Fodnotehenvisning"/>
        </w:rPr>
        <w:footnoteRef/>
      </w:r>
      <w:r>
        <w:t xml:space="preserve"> Staunstrup, Erik </w:t>
      </w:r>
      <w:proofErr w:type="spellStart"/>
      <w:proofErr w:type="gramStart"/>
      <w:r>
        <w:t>m.fl</w:t>
      </w:r>
      <w:proofErr w:type="spellEnd"/>
      <w:proofErr w:type="gramEnd"/>
      <w:r>
        <w:t xml:space="preserve"> (2021), Ledelse i praksis, 5. udgave, side 173-176</w:t>
      </w:r>
    </w:p>
  </w:footnote>
  <w:footnote w:id="8">
    <w:p w14:paraId="7473CD68" w14:textId="77777777" w:rsidR="009C2CBE" w:rsidRDefault="009C2CBE" w:rsidP="009C2CBE">
      <w:pPr>
        <w:pStyle w:val="Fodnotetekst"/>
      </w:pPr>
      <w:r>
        <w:rPr>
          <w:rStyle w:val="Fodnotehenvisning"/>
        </w:rPr>
        <w:footnoteRef/>
      </w:r>
      <w:r>
        <w:t xml:space="preserve"> Nærmeste udviklingszone (</w:t>
      </w:r>
      <w:proofErr w:type="spellStart"/>
      <w:r>
        <w:t>Vygotzgy</w:t>
      </w:r>
      <w:proofErr w:type="spellEnd"/>
      <w:r>
        <w:t xml:space="preserve">). Se f.eks. Hansen, Mogens </w:t>
      </w:r>
      <w:proofErr w:type="spellStart"/>
      <w:proofErr w:type="gramStart"/>
      <w:r>
        <w:t>m.fl</w:t>
      </w:r>
      <w:proofErr w:type="spellEnd"/>
      <w:proofErr w:type="gramEnd"/>
      <w:r>
        <w:t xml:space="preserve"> (1997) Psykologisk pædagogisk ordbog, side 403</w:t>
      </w:r>
    </w:p>
  </w:footnote>
  <w:footnote w:id="9">
    <w:p w14:paraId="0AD6C65B" w14:textId="77777777" w:rsidR="00C3336B" w:rsidRDefault="00C3336B" w:rsidP="00C3336B">
      <w:pPr>
        <w:pStyle w:val="Fodnotetekst"/>
      </w:pPr>
      <w:r>
        <w:rPr>
          <w:rStyle w:val="Fodnotehenvisning"/>
        </w:rPr>
        <w:footnoteRef/>
      </w:r>
      <w:r>
        <w:t xml:space="preserve"> Kybernetik er læren om kontrol og udveksling af informationer. 2. ordens kybernetik betegner således kontrol af kontrolløren (iflg. Niklas Luhmann og hans teori om sociale systemer). </w:t>
      </w:r>
    </w:p>
  </w:footnote>
  <w:footnote w:id="10">
    <w:p w14:paraId="09EB48F1" w14:textId="77777777" w:rsidR="00662C7F" w:rsidRPr="00D82C78" w:rsidRDefault="00662C7F" w:rsidP="00662C7F">
      <w:pPr>
        <w:pStyle w:val="Fodnotetekst"/>
        <w:rPr>
          <w:lang w:val="en-US"/>
        </w:rPr>
      </w:pPr>
      <w:r>
        <w:rPr>
          <w:rStyle w:val="Fodnotehenvisning"/>
        </w:rPr>
        <w:footnoteRef/>
      </w:r>
      <w:r w:rsidRPr="00D82C78">
        <w:rPr>
          <w:lang w:val="en-US"/>
        </w:rPr>
        <w:t xml:space="preserve"> Kirketerp, Anne. Kilde: </w:t>
      </w:r>
      <w:hyperlink r:id="rId2" w:history="1">
        <w:r w:rsidRPr="00D82C78">
          <w:rPr>
            <w:rStyle w:val="Hyperlink"/>
            <w:lang w:val="en-US"/>
          </w:rPr>
          <w:t>PowerPoint-</w:t>
        </w:r>
        <w:proofErr w:type="spellStart"/>
        <w:r w:rsidRPr="00D82C78">
          <w:rPr>
            <w:rStyle w:val="Hyperlink"/>
            <w:lang w:val="en-US"/>
          </w:rPr>
          <w:t>præsentation</w:t>
        </w:r>
        <w:proofErr w:type="spellEnd"/>
      </w:hyperlink>
    </w:p>
  </w:footnote>
  <w:footnote w:id="11">
    <w:p w14:paraId="38830721" w14:textId="77777777" w:rsidR="00662C7F" w:rsidRPr="00DD779A" w:rsidRDefault="00662C7F" w:rsidP="00662C7F">
      <w:pPr>
        <w:pStyle w:val="Fodnotetekst"/>
        <w:rPr>
          <w:lang w:val="en-US"/>
        </w:rPr>
      </w:pPr>
      <w:r>
        <w:rPr>
          <w:rStyle w:val="Fodnotehenvisning"/>
        </w:rPr>
        <w:footnoteRef/>
      </w:r>
      <w:r w:rsidRPr="00DD779A">
        <w:rPr>
          <w:lang w:val="en-US"/>
        </w:rPr>
        <w:t xml:space="preserve"> The Sustainable Development Goals through the lens of ESG Image - ResearchGate.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EF36" w14:textId="39FCF833" w:rsidR="00E6109A" w:rsidRDefault="00E6109A">
    <w:pPr>
      <w:pStyle w:val="Sidehoved"/>
    </w:pPr>
    <w:r>
      <w:rPr>
        <w:noProof/>
        <w:sz w:val="20"/>
      </w:rPr>
      <w:drawing>
        <wp:anchor distT="0" distB="0" distL="0" distR="0" simplePos="0" relativeHeight="251659264" behindDoc="1" locked="0" layoutInCell="1" allowOverlap="1" wp14:anchorId="38CA8848" wp14:editId="2953E406">
          <wp:simplePos x="0" y="0"/>
          <wp:positionH relativeFrom="margin">
            <wp:align>right</wp:align>
          </wp:positionH>
          <wp:positionV relativeFrom="page">
            <wp:posOffset>419100</wp:posOffset>
          </wp:positionV>
          <wp:extent cx="2044700" cy="400050"/>
          <wp:effectExtent l="0" t="0" r="0" b="0"/>
          <wp:wrapThrough wrapText="bothSides">
            <wp:wrapPolygon edited="0">
              <wp:start x="0" y="0"/>
              <wp:lineTo x="0" y="20571"/>
              <wp:lineTo x="21332" y="20571"/>
              <wp:lineTo x="21332" y="0"/>
              <wp:lineTo x="0" y="0"/>
            </wp:wrapPolygon>
          </wp:wrapThrough>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44700" cy="400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188B"/>
    <w:multiLevelType w:val="hybridMultilevel"/>
    <w:tmpl w:val="C0B450BA"/>
    <w:lvl w:ilvl="0" w:tplc="6D245C06">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A9F358C"/>
    <w:multiLevelType w:val="hybridMultilevel"/>
    <w:tmpl w:val="E75442BA"/>
    <w:lvl w:ilvl="0" w:tplc="3656DDD6">
      <w:numFmt w:val="bullet"/>
      <w:lvlText w:val="-"/>
      <w:lvlJc w:val="left"/>
      <w:pPr>
        <w:ind w:left="720" w:hanging="360"/>
      </w:pPr>
      <w:rPr>
        <w:rFonts w:ascii="Aptos Display" w:eastAsiaTheme="majorEastAsia" w:hAnsi="Aptos Display" w:cstheme="majorBidi" w:hint="default"/>
        <w:color w:val="0F4761" w:themeColor="accent1" w:themeShade="BF"/>
        <w:sz w:val="4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98374682">
    <w:abstractNumId w:val="0"/>
  </w:num>
  <w:num w:numId="2" w16cid:durableId="1849056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FB"/>
    <w:rsid w:val="00000D8E"/>
    <w:rsid w:val="000030D2"/>
    <w:rsid w:val="00005E8C"/>
    <w:rsid w:val="000069F0"/>
    <w:rsid w:val="000420E3"/>
    <w:rsid w:val="00045E98"/>
    <w:rsid w:val="000469B7"/>
    <w:rsid w:val="00056B34"/>
    <w:rsid w:val="00057F7B"/>
    <w:rsid w:val="00063D16"/>
    <w:rsid w:val="000724B6"/>
    <w:rsid w:val="0007337A"/>
    <w:rsid w:val="0008446F"/>
    <w:rsid w:val="00086FA8"/>
    <w:rsid w:val="000A468D"/>
    <w:rsid w:val="000A5543"/>
    <w:rsid w:val="000A6887"/>
    <w:rsid w:val="000A6D47"/>
    <w:rsid w:val="000B5B10"/>
    <w:rsid w:val="000C329F"/>
    <w:rsid w:val="000E1524"/>
    <w:rsid w:val="000E445B"/>
    <w:rsid w:val="000E45D1"/>
    <w:rsid w:val="00102A2D"/>
    <w:rsid w:val="00103F3C"/>
    <w:rsid w:val="001072E8"/>
    <w:rsid w:val="001106B9"/>
    <w:rsid w:val="00111FA8"/>
    <w:rsid w:val="0011639A"/>
    <w:rsid w:val="001201E6"/>
    <w:rsid w:val="00131DE4"/>
    <w:rsid w:val="0013217A"/>
    <w:rsid w:val="0013531B"/>
    <w:rsid w:val="0013598D"/>
    <w:rsid w:val="00141D0C"/>
    <w:rsid w:val="00153969"/>
    <w:rsid w:val="00157007"/>
    <w:rsid w:val="00185CEB"/>
    <w:rsid w:val="0019351A"/>
    <w:rsid w:val="001C02C2"/>
    <w:rsid w:val="001C19E7"/>
    <w:rsid w:val="001C4D63"/>
    <w:rsid w:val="001C55C8"/>
    <w:rsid w:val="001C6C5D"/>
    <w:rsid w:val="001D58B7"/>
    <w:rsid w:val="001D6DA7"/>
    <w:rsid w:val="001E42B4"/>
    <w:rsid w:val="001E54AD"/>
    <w:rsid w:val="001F1895"/>
    <w:rsid w:val="001F28A0"/>
    <w:rsid w:val="002121F5"/>
    <w:rsid w:val="00214AFB"/>
    <w:rsid w:val="00221A8D"/>
    <w:rsid w:val="00227C73"/>
    <w:rsid w:val="00240266"/>
    <w:rsid w:val="00242D35"/>
    <w:rsid w:val="002431B0"/>
    <w:rsid w:val="002446FC"/>
    <w:rsid w:val="00250F31"/>
    <w:rsid w:val="00252FFA"/>
    <w:rsid w:val="00270EDF"/>
    <w:rsid w:val="002754BD"/>
    <w:rsid w:val="002911C6"/>
    <w:rsid w:val="002962A9"/>
    <w:rsid w:val="0029720D"/>
    <w:rsid w:val="002C2795"/>
    <w:rsid w:val="002C7D26"/>
    <w:rsid w:val="002E5206"/>
    <w:rsid w:val="002E6379"/>
    <w:rsid w:val="002F21B0"/>
    <w:rsid w:val="0031487E"/>
    <w:rsid w:val="00323649"/>
    <w:rsid w:val="0032416B"/>
    <w:rsid w:val="00330305"/>
    <w:rsid w:val="00333594"/>
    <w:rsid w:val="00335D10"/>
    <w:rsid w:val="00341173"/>
    <w:rsid w:val="0035731B"/>
    <w:rsid w:val="00366E95"/>
    <w:rsid w:val="00372BCF"/>
    <w:rsid w:val="00376610"/>
    <w:rsid w:val="00376C12"/>
    <w:rsid w:val="00380576"/>
    <w:rsid w:val="00387DE9"/>
    <w:rsid w:val="003A1EF2"/>
    <w:rsid w:val="003B230B"/>
    <w:rsid w:val="003B3993"/>
    <w:rsid w:val="003D56D9"/>
    <w:rsid w:val="003E3079"/>
    <w:rsid w:val="003E6B21"/>
    <w:rsid w:val="003F4066"/>
    <w:rsid w:val="00406FBD"/>
    <w:rsid w:val="004130F4"/>
    <w:rsid w:val="00416520"/>
    <w:rsid w:val="00441EDD"/>
    <w:rsid w:val="004744CE"/>
    <w:rsid w:val="004749BE"/>
    <w:rsid w:val="00494D4F"/>
    <w:rsid w:val="004D28F4"/>
    <w:rsid w:val="004E13BD"/>
    <w:rsid w:val="004E1E75"/>
    <w:rsid w:val="004E5605"/>
    <w:rsid w:val="004E6051"/>
    <w:rsid w:val="00516B0B"/>
    <w:rsid w:val="00525B0D"/>
    <w:rsid w:val="005367A3"/>
    <w:rsid w:val="00551497"/>
    <w:rsid w:val="00564EA6"/>
    <w:rsid w:val="00567B87"/>
    <w:rsid w:val="005714EC"/>
    <w:rsid w:val="0057430E"/>
    <w:rsid w:val="00581D0A"/>
    <w:rsid w:val="00587992"/>
    <w:rsid w:val="00587FE1"/>
    <w:rsid w:val="00592922"/>
    <w:rsid w:val="005A57F6"/>
    <w:rsid w:val="005A62AD"/>
    <w:rsid w:val="005A7EF8"/>
    <w:rsid w:val="005B2930"/>
    <w:rsid w:val="005C0731"/>
    <w:rsid w:val="005C7C19"/>
    <w:rsid w:val="005D02A6"/>
    <w:rsid w:val="005E272D"/>
    <w:rsid w:val="005E3F6E"/>
    <w:rsid w:val="005F33EC"/>
    <w:rsid w:val="006046CE"/>
    <w:rsid w:val="0063309F"/>
    <w:rsid w:val="00635562"/>
    <w:rsid w:val="00662C7F"/>
    <w:rsid w:val="006677C8"/>
    <w:rsid w:val="00674188"/>
    <w:rsid w:val="00685124"/>
    <w:rsid w:val="006A1B64"/>
    <w:rsid w:val="006C195C"/>
    <w:rsid w:val="006E1900"/>
    <w:rsid w:val="006E7202"/>
    <w:rsid w:val="006F2E0A"/>
    <w:rsid w:val="00701076"/>
    <w:rsid w:val="00712047"/>
    <w:rsid w:val="00716B81"/>
    <w:rsid w:val="007170AA"/>
    <w:rsid w:val="00722270"/>
    <w:rsid w:val="00727A58"/>
    <w:rsid w:val="007420A2"/>
    <w:rsid w:val="0074541E"/>
    <w:rsid w:val="0077676B"/>
    <w:rsid w:val="0078217A"/>
    <w:rsid w:val="007827D9"/>
    <w:rsid w:val="00784EE5"/>
    <w:rsid w:val="00785122"/>
    <w:rsid w:val="0079151D"/>
    <w:rsid w:val="007B1ACE"/>
    <w:rsid w:val="007B5351"/>
    <w:rsid w:val="007B5DCB"/>
    <w:rsid w:val="007B5EF9"/>
    <w:rsid w:val="007B6A7B"/>
    <w:rsid w:val="007D1E1A"/>
    <w:rsid w:val="007E5718"/>
    <w:rsid w:val="00802ABD"/>
    <w:rsid w:val="00820B0F"/>
    <w:rsid w:val="00825E83"/>
    <w:rsid w:val="008308F6"/>
    <w:rsid w:val="00830BEB"/>
    <w:rsid w:val="008332AE"/>
    <w:rsid w:val="00843244"/>
    <w:rsid w:val="00860BB8"/>
    <w:rsid w:val="00864338"/>
    <w:rsid w:val="00867F0C"/>
    <w:rsid w:val="00870FA5"/>
    <w:rsid w:val="00881B17"/>
    <w:rsid w:val="00881C98"/>
    <w:rsid w:val="0089518D"/>
    <w:rsid w:val="008D7A52"/>
    <w:rsid w:val="00900ED3"/>
    <w:rsid w:val="00902F62"/>
    <w:rsid w:val="00906C25"/>
    <w:rsid w:val="009215FD"/>
    <w:rsid w:val="00927CCD"/>
    <w:rsid w:val="00934081"/>
    <w:rsid w:val="0093543A"/>
    <w:rsid w:val="00947A8F"/>
    <w:rsid w:val="00961567"/>
    <w:rsid w:val="0096194B"/>
    <w:rsid w:val="0096484B"/>
    <w:rsid w:val="0096490B"/>
    <w:rsid w:val="009C0CC6"/>
    <w:rsid w:val="009C2CBE"/>
    <w:rsid w:val="009E1097"/>
    <w:rsid w:val="009F6F52"/>
    <w:rsid w:val="00A00D9A"/>
    <w:rsid w:val="00A0449F"/>
    <w:rsid w:val="00A04728"/>
    <w:rsid w:val="00A04E88"/>
    <w:rsid w:val="00A064E5"/>
    <w:rsid w:val="00A124CB"/>
    <w:rsid w:val="00A13D13"/>
    <w:rsid w:val="00A150CB"/>
    <w:rsid w:val="00A15A16"/>
    <w:rsid w:val="00A2765B"/>
    <w:rsid w:val="00A30542"/>
    <w:rsid w:val="00A30F3B"/>
    <w:rsid w:val="00A31861"/>
    <w:rsid w:val="00A530B9"/>
    <w:rsid w:val="00A5352E"/>
    <w:rsid w:val="00A548E6"/>
    <w:rsid w:val="00A65682"/>
    <w:rsid w:val="00A667EB"/>
    <w:rsid w:val="00A80D15"/>
    <w:rsid w:val="00A824CF"/>
    <w:rsid w:val="00A824EE"/>
    <w:rsid w:val="00A870DE"/>
    <w:rsid w:val="00AC5284"/>
    <w:rsid w:val="00AC7E9C"/>
    <w:rsid w:val="00AD1175"/>
    <w:rsid w:val="00AD1432"/>
    <w:rsid w:val="00AD3B45"/>
    <w:rsid w:val="00AE04C9"/>
    <w:rsid w:val="00AF0510"/>
    <w:rsid w:val="00AF1095"/>
    <w:rsid w:val="00B05074"/>
    <w:rsid w:val="00B0524B"/>
    <w:rsid w:val="00B0754B"/>
    <w:rsid w:val="00B211EB"/>
    <w:rsid w:val="00B25116"/>
    <w:rsid w:val="00B26A2A"/>
    <w:rsid w:val="00B355FE"/>
    <w:rsid w:val="00B50310"/>
    <w:rsid w:val="00B524E4"/>
    <w:rsid w:val="00B52B40"/>
    <w:rsid w:val="00B66A6C"/>
    <w:rsid w:val="00B77EB0"/>
    <w:rsid w:val="00B81D5C"/>
    <w:rsid w:val="00B83782"/>
    <w:rsid w:val="00B90094"/>
    <w:rsid w:val="00B9088E"/>
    <w:rsid w:val="00B91C07"/>
    <w:rsid w:val="00B93CAC"/>
    <w:rsid w:val="00BC3654"/>
    <w:rsid w:val="00BD0830"/>
    <w:rsid w:val="00BF7A4C"/>
    <w:rsid w:val="00C071F4"/>
    <w:rsid w:val="00C15D64"/>
    <w:rsid w:val="00C32F9D"/>
    <w:rsid w:val="00C3336B"/>
    <w:rsid w:val="00C53CE7"/>
    <w:rsid w:val="00C64942"/>
    <w:rsid w:val="00C64EA7"/>
    <w:rsid w:val="00C80647"/>
    <w:rsid w:val="00C94806"/>
    <w:rsid w:val="00C9538F"/>
    <w:rsid w:val="00C96140"/>
    <w:rsid w:val="00CA003C"/>
    <w:rsid w:val="00CA25DF"/>
    <w:rsid w:val="00CA5F1A"/>
    <w:rsid w:val="00CA7CAE"/>
    <w:rsid w:val="00CB18AA"/>
    <w:rsid w:val="00CB545C"/>
    <w:rsid w:val="00CC1496"/>
    <w:rsid w:val="00CE5800"/>
    <w:rsid w:val="00D01A2E"/>
    <w:rsid w:val="00D14B46"/>
    <w:rsid w:val="00D27DAE"/>
    <w:rsid w:val="00D36A25"/>
    <w:rsid w:val="00D4209D"/>
    <w:rsid w:val="00D445A3"/>
    <w:rsid w:val="00D45168"/>
    <w:rsid w:val="00D47D09"/>
    <w:rsid w:val="00D52509"/>
    <w:rsid w:val="00D56006"/>
    <w:rsid w:val="00D610A5"/>
    <w:rsid w:val="00D6422B"/>
    <w:rsid w:val="00D648F4"/>
    <w:rsid w:val="00D70F0C"/>
    <w:rsid w:val="00D711C3"/>
    <w:rsid w:val="00D724D4"/>
    <w:rsid w:val="00D82C78"/>
    <w:rsid w:val="00D90E1F"/>
    <w:rsid w:val="00D925B2"/>
    <w:rsid w:val="00D92958"/>
    <w:rsid w:val="00DA2962"/>
    <w:rsid w:val="00DB075A"/>
    <w:rsid w:val="00DB7FFC"/>
    <w:rsid w:val="00DC0B58"/>
    <w:rsid w:val="00DD779A"/>
    <w:rsid w:val="00DE411E"/>
    <w:rsid w:val="00DE6B54"/>
    <w:rsid w:val="00DF3D0E"/>
    <w:rsid w:val="00DF7E7D"/>
    <w:rsid w:val="00E00CD0"/>
    <w:rsid w:val="00E2101C"/>
    <w:rsid w:val="00E26440"/>
    <w:rsid w:val="00E335F9"/>
    <w:rsid w:val="00E418BE"/>
    <w:rsid w:val="00E5029C"/>
    <w:rsid w:val="00E518EA"/>
    <w:rsid w:val="00E6109A"/>
    <w:rsid w:val="00E66D9D"/>
    <w:rsid w:val="00E678FE"/>
    <w:rsid w:val="00E70154"/>
    <w:rsid w:val="00E72F9D"/>
    <w:rsid w:val="00E779CE"/>
    <w:rsid w:val="00E87343"/>
    <w:rsid w:val="00EA0A24"/>
    <w:rsid w:val="00EA36B8"/>
    <w:rsid w:val="00ED380F"/>
    <w:rsid w:val="00ED7A64"/>
    <w:rsid w:val="00ED7B63"/>
    <w:rsid w:val="00EF7CDC"/>
    <w:rsid w:val="00F07BD5"/>
    <w:rsid w:val="00F10F10"/>
    <w:rsid w:val="00F2443A"/>
    <w:rsid w:val="00F2512B"/>
    <w:rsid w:val="00F40992"/>
    <w:rsid w:val="00F527F4"/>
    <w:rsid w:val="00F533A0"/>
    <w:rsid w:val="00F537F7"/>
    <w:rsid w:val="00F66AD4"/>
    <w:rsid w:val="00F76DE2"/>
    <w:rsid w:val="00F962FC"/>
    <w:rsid w:val="00FA1BF2"/>
    <w:rsid w:val="00FA23A0"/>
    <w:rsid w:val="00FA57C4"/>
    <w:rsid w:val="00FA7E33"/>
    <w:rsid w:val="00FB1CAD"/>
    <w:rsid w:val="00FB4919"/>
    <w:rsid w:val="00FC2495"/>
    <w:rsid w:val="00FD0470"/>
    <w:rsid w:val="00FD6EA5"/>
    <w:rsid w:val="00FE5512"/>
    <w:rsid w:val="00FF3B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52D7"/>
  <w15:chartTrackingRefBased/>
  <w15:docId w15:val="{5405D768-F8CD-46C0-A58D-DD7769CF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14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214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214AF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14AF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14AF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14AF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14AF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14AF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14AF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14AF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214AF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214AF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14AF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14AF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14AF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14AF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14AF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14AFB"/>
    <w:rPr>
      <w:rFonts w:eastAsiaTheme="majorEastAsia" w:cstheme="majorBidi"/>
      <w:color w:val="272727" w:themeColor="text1" w:themeTint="D8"/>
    </w:rPr>
  </w:style>
  <w:style w:type="paragraph" w:styleId="Titel">
    <w:name w:val="Title"/>
    <w:basedOn w:val="Normal"/>
    <w:next w:val="Normal"/>
    <w:link w:val="TitelTegn"/>
    <w:uiPriority w:val="10"/>
    <w:qFormat/>
    <w:rsid w:val="00214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14AF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14AF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14AF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14AF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14AFB"/>
    <w:rPr>
      <w:i/>
      <w:iCs/>
      <w:color w:val="404040" w:themeColor="text1" w:themeTint="BF"/>
    </w:rPr>
  </w:style>
  <w:style w:type="paragraph" w:styleId="Listeafsnit">
    <w:name w:val="List Paragraph"/>
    <w:basedOn w:val="Normal"/>
    <w:uiPriority w:val="34"/>
    <w:qFormat/>
    <w:rsid w:val="00214AFB"/>
    <w:pPr>
      <w:ind w:left="720"/>
      <w:contextualSpacing/>
    </w:pPr>
  </w:style>
  <w:style w:type="character" w:styleId="Kraftigfremhvning">
    <w:name w:val="Intense Emphasis"/>
    <w:basedOn w:val="Standardskrifttypeiafsnit"/>
    <w:uiPriority w:val="21"/>
    <w:qFormat/>
    <w:rsid w:val="00214AFB"/>
    <w:rPr>
      <w:i/>
      <w:iCs/>
      <w:color w:val="0F4761" w:themeColor="accent1" w:themeShade="BF"/>
    </w:rPr>
  </w:style>
  <w:style w:type="paragraph" w:styleId="Strktcitat">
    <w:name w:val="Intense Quote"/>
    <w:basedOn w:val="Normal"/>
    <w:next w:val="Normal"/>
    <w:link w:val="StrktcitatTegn"/>
    <w:uiPriority w:val="30"/>
    <w:qFormat/>
    <w:rsid w:val="00214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14AFB"/>
    <w:rPr>
      <w:i/>
      <w:iCs/>
      <w:color w:val="0F4761" w:themeColor="accent1" w:themeShade="BF"/>
    </w:rPr>
  </w:style>
  <w:style w:type="character" w:styleId="Kraftighenvisning">
    <w:name w:val="Intense Reference"/>
    <w:basedOn w:val="Standardskrifttypeiafsnit"/>
    <w:uiPriority w:val="32"/>
    <w:qFormat/>
    <w:rsid w:val="00214AFB"/>
    <w:rPr>
      <w:b/>
      <w:bCs/>
      <w:smallCaps/>
      <w:color w:val="0F4761" w:themeColor="accent1" w:themeShade="BF"/>
      <w:spacing w:val="5"/>
    </w:rPr>
  </w:style>
  <w:style w:type="paragraph" w:styleId="Fodnotetekst">
    <w:name w:val="footnote text"/>
    <w:basedOn w:val="Normal"/>
    <w:link w:val="FodnotetekstTegn"/>
    <w:uiPriority w:val="99"/>
    <w:semiHidden/>
    <w:unhideWhenUsed/>
    <w:rsid w:val="00B25116"/>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B25116"/>
    <w:rPr>
      <w:sz w:val="20"/>
      <w:szCs w:val="20"/>
    </w:rPr>
  </w:style>
  <w:style w:type="character" w:styleId="Fodnotehenvisning">
    <w:name w:val="footnote reference"/>
    <w:basedOn w:val="Standardskrifttypeiafsnit"/>
    <w:uiPriority w:val="99"/>
    <w:semiHidden/>
    <w:unhideWhenUsed/>
    <w:rsid w:val="00B25116"/>
    <w:rPr>
      <w:vertAlign w:val="superscript"/>
    </w:rPr>
  </w:style>
  <w:style w:type="character" w:styleId="Hyperlink">
    <w:name w:val="Hyperlink"/>
    <w:basedOn w:val="Standardskrifttypeiafsnit"/>
    <w:uiPriority w:val="99"/>
    <w:unhideWhenUsed/>
    <w:rsid w:val="003B3993"/>
    <w:rPr>
      <w:color w:val="467886" w:themeColor="hyperlink"/>
      <w:u w:val="single"/>
    </w:rPr>
  </w:style>
  <w:style w:type="character" w:styleId="Ulstomtale">
    <w:name w:val="Unresolved Mention"/>
    <w:basedOn w:val="Standardskrifttypeiafsnit"/>
    <w:uiPriority w:val="99"/>
    <w:semiHidden/>
    <w:unhideWhenUsed/>
    <w:rsid w:val="003B3993"/>
    <w:rPr>
      <w:color w:val="605E5C"/>
      <w:shd w:val="clear" w:color="auto" w:fill="E1DFDD"/>
    </w:rPr>
  </w:style>
  <w:style w:type="paragraph" w:styleId="Sidehoved">
    <w:name w:val="header"/>
    <w:basedOn w:val="Normal"/>
    <w:link w:val="SidehovedTegn"/>
    <w:uiPriority w:val="99"/>
    <w:unhideWhenUsed/>
    <w:rsid w:val="00E6109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6109A"/>
  </w:style>
  <w:style w:type="paragraph" w:styleId="Sidefod">
    <w:name w:val="footer"/>
    <w:basedOn w:val="Normal"/>
    <w:link w:val="SidefodTegn"/>
    <w:uiPriority w:val="99"/>
    <w:unhideWhenUsed/>
    <w:rsid w:val="00E6109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61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signpsykologi.dk/hvad-er-double-diamond" TargetMode="External"/><Relationship Id="rId18" Type="http://schemas.openxmlformats.org/officeDocument/2006/relationships/hyperlink" Target="https://www.verdensmaalene.d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uvf.dk/wp-content/uploads/2022/01/workshop-2-a-Anne-Kirketerp-SKUB-metoden.pdf" TargetMode="External"/><Relationship Id="rId17" Type="http://schemas.openxmlformats.org/officeDocument/2006/relationships/hyperlink" Target="https://sustainablebusinessmodel.org/2015/04/17/the-triple-layered-business-model-canvas-a-tool-to-design-more-sustainable-business-models/" TargetMode="External"/><Relationship Id="rId2" Type="http://schemas.openxmlformats.org/officeDocument/2006/relationships/customXml" Target="../customXml/item2.xml"/><Relationship Id="rId16" Type="http://schemas.openxmlformats.org/officeDocument/2006/relationships/hyperlink" Target="https://sustainablebusinessmodel.org/2015/04/17/the-triple-layered-business-model-canvas-a-tool-to-design-more-sustainable-business-mode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uvf.dk/wp-content/uploads/2022/01/workshop-2-a-Anne-Kirketerp-SKUB-metoden.pdf" TargetMode="External"/><Relationship Id="rId5" Type="http://schemas.openxmlformats.org/officeDocument/2006/relationships/numbering" Target="numbering.xml"/><Relationship Id="rId15" Type="http://schemas.openxmlformats.org/officeDocument/2006/relationships/hyperlink" Target="https://sustainablebusinessmodel.org/2015/04/17/the-triple-layered-business-model-canvas-a-tool-to-design-more-sustainable-business-models/" TargetMode="External"/><Relationship Id="rId10" Type="http://schemas.openxmlformats.org/officeDocument/2006/relationships/endnotes" Target="endnotes.xml"/><Relationship Id="rId19" Type="http://schemas.openxmlformats.org/officeDocument/2006/relationships/hyperlink" Target="https://www.verdensmaalene.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businessmodel.org/2015/04/17/the-triple-layered-business-model-canvas-a-tool-to-design-more-sustainable-business-model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uuvf.dk/wp-content/uploads/2022/01/workshop-2-a-Anne-Kirketerp-SKUB-metoden.pdf" TargetMode="External"/><Relationship Id="rId1" Type="http://schemas.openxmlformats.org/officeDocument/2006/relationships/hyperlink" Target="https://www.designpsykologi.dk/hvad-er-double-diamo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98785-69DC-4F55-A44C-010BBC14F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40CDC-EA96-464E-9A27-A3041FBF55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1A5BF1-0A01-4DAB-A82F-3C596BAEBEA2}">
  <ds:schemaRefs>
    <ds:schemaRef ds:uri="http://schemas.microsoft.com/sharepoint/v3/contenttype/forms"/>
  </ds:schemaRefs>
</ds:datastoreItem>
</file>

<file path=customXml/itemProps4.xml><?xml version="1.0" encoding="utf-8"?>
<ds:datastoreItem xmlns:ds="http://schemas.openxmlformats.org/officeDocument/2006/customXml" ds:itemID="{71A8AE43-4892-41C1-8A59-505427D3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1568</Words>
  <Characters>10337</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
    </vt:vector>
  </TitlesOfParts>
  <Company>IBC International Business College</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Svend Ole Glüsing - SOGL</dc:creator>
  <cp:keywords/>
  <dc:description/>
  <cp:lastModifiedBy>Camilla Hyldahl Grøn</cp:lastModifiedBy>
  <cp:revision>40</cp:revision>
  <dcterms:created xsi:type="dcterms:W3CDTF">2026-04-15T05:02:00Z</dcterms:created>
  <dcterms:modified xsi:type="dcterms:W3CDTF">2026-04-21T08:57:00Z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