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B1881" w14:textId="77777777" w:rsidR="0012509A" w:rsidRPr="0012509A" w:rsidRDefault="0012509A" w:rsidP="0012509A">
      <w:pPr>
        <w:jc w:val="center"/>
        <w:rPr>
          <w:b/>
          <w:bCs/>
          <w:sz w:val="36"/>
          <w:szCs w:val="36"/>
          <w:lang w:val="de-DE"/>
        </w:rPr>
      </w:pPr>
      <w:r w:rsidRPr="0012509A">
        <w:rPr>
          <w:b/>
          <w:bCs/>
          <w:sz w:val="36"/>
          <w:szCs w:val="36"/>
          <w:lang w:val="de-DE"/>
        </w:rPr>
        <w:t>Didaktische Reflexionen über das Lernmittel</w:t>
      </w:r>
    </w:p>
    <w:p w14:paraId="2D8A0D73" w14:textId="23EA983C" w:rsidR="00D56C76" w:rsidRPr="0012509A" w:rsidRDefault="0012509A">
      <w:pPr>
        <w:rPr>
          <w:b/>
          <w:bCs/>
          <w:lang w:val="de-DE"/>
        </w:rPr>
      </w:pPr>
      <w:r>
        <w:rPr>
          <w:b/>
          <w:bCs/>
          <w:lang w:val="de-DE"/>
        </w:rPr>
        <w:t>Lernmittel:</w:t>
      </w:r>
    </w:p>
    <w:p w14:paraId="2A10C551" w14:textId="77777777" w:rsidR="00992030" w:rsidRPr="00992030" w:rsidRDefault="00992030" w:rsidP="00992030">
      <w:r w:rsidRPr="00992030">
        <w:rPr>
          <w:lang w:val="de-DE"/>
        </w:rPr>
        <w:t xml:space="preserve">Das Lernmittel besteht aus zwei Spielen, die Modelle in Bezug auf die jeweilige Fachrichtung der Schüler behandeln. </w:t>
      </w:r>
      <w:r w:rsidRPr="00992030">
        <w:t xml:space="preserve">Die </w:t>
      </w:r>
      <w:proofErr w:type="spellStart"/>
      <w:r w:rsidRPr="00992030">
        <w:t>beiden</w:t>
      </w:r>
      <w:proofErr w:type="spellEnd"/>
      <w:r w:rsidRPr="00992030">
        <w:t xml:space="preserve"> </w:t>
      </w:r>
      <w:proofErr w:type="spellStart"/>
      <w:r w:rsidRPr="00992030">
        <w:t>Spiele</w:t>
      </w:r>
      <w:proofErr w:type="spellEnd"/>
      <w:r w:rsidRPr="00992030">
        <w:t xml:space="preserve"> sind </w:t>
      </w:r>
      <w:proofErr w:type="spellStart"/>
      <w:r w:rsidRPr="00992030">
        <w:t>unten</w:t>
      </w:r>
      <w:proofErr w:type="spellEnd"/>
      <w:r w:rsidRPr="00992030">
        <w:t xml:space="preserve"> </w:t>
      </w:r>
      <w:proofErr w:type="spellStart"/>
      <w:r w:rsidRPr="00992030">
        <w:t>dargestellt</w:t>
      </w:r>
      <w:proofErr w:type="spellEnd"/>
      <w:r w:rsidRPr="00992030">
        <w:t>:</w:t>
      </w:r>
    </w:p>
    <w:p w14:paraId="606E8ECA" w14:textId="77777777" w:rsidR="00992030" w:rsidRPr="00992030" w:rsidRDefault="00992030" w:rsidP="00992030">
      <w:pPr>
        <w:numPr>
          <w:ilvl w:val="0"/>
          <w:numId w:val="2"/>
        </w:numPr>
        <w:rPr>
          <w:lang w:val="de-DE"/>
        </w:rPr>
      </w:pPr>
      <w:r w:rsidRPr="00992030">
        <w:rPr>
          <w:lang w:val="de-DE"/>
        </w:rPr>
        <w:t>Das Nachhaltigkeitsmodell: Es wurden Spielkarten erstellt, die den Fall „Neubau eines Typenhauses“ behandeln.</w:t>
      </w:r>
    </w:p>
    <w:p w14:paraId="0C68B779" w14:textId="77777777" w:rsidR="00992030" w:rsidRPr="00992030" w:rsidRDefault="00992030" w:rsidP="00992030">
      <w:pPr>
        <w:numPr>
          <w:ilvl w:val="0"/>
          <w:numId w:val="2"/>
        </w:numPr>
        <w:rPr>
          <w:lang w:val="de-DE"/>
        </w:rPr>
      </w:pPr>
      <w:r w:rsidRPr="00992030">
        <w:rPr>
          <w:lang w:val="de-DE"/>
        </w:rPr>
        <w:t>Die Triple-Bottom-Line: Es wurden Spielkarten erstellt, die den Fall „Zimmerer in der Praxis“ behandeln.</w:t>
      </w:r>
      <w:r w:rsidRPr="00992030">
        <w:rPr>
          <w:lang w:val="de-DE"/>
        </w:rPr>
        <w:br/>
        <w:t>*Die Spiele können miteinander kombiniert werden, da beide Modelle zusammen den Schülern eine breitere Perspektive auf die drei Aspekte der Nachhaltigkeit vermitteln.</w:t>
      </w:r>
      <w:r w:rsidRPr="00992030">
        <w:rPr>
          <w:lang w:val="de-DE"/>
        </w:rPr>
        <w:br/>
        <w:t>**Eine Reflexion in Matrixgruppen oder eine anschließende Plenumsrunde kann sinnvoll eingesetzt werden.</w:t>
      </w:r>
    </w:p>
    <w:p w14:paraId="28535980" w14:textId="77777777" w:rsidR="00992030" w:rsidRPr="00992030" w:rsidRDefault="00992030" w:rsidP="00992030">
      <w:pPr>
        <w:rPr>
          <w:lang w:val="de-DE"/>
        </w:rPr>
      </w:pPr>
      <w:r w:rsidRPr="00992030">
        <w:rPr>
          <w:b/>
          <w:bCs/>
          <w:lang w:val="de-DE"/>
        </w:rPr>
        <w:t>Reflexion über die Praxis anhand teilnehmender Beobachtung:</w:t>
      </w:r>
      <w:r w:rsidRPr="00992030">
        <w:rPr>
          <w:lang w:val="de-DE"/>
        </w:rPr>
        <w:br/>
        <w:t>Das Lernmittel wurde in zwei Klassen im Fach „Nachhaltiges Bauen und Gesellschaft“ erprobt. Es handelt sich um Hauptverlauf 1 und 2 mit jeweils etwa 20 Schülern. Das Lernmittel dauert pro Spiel 30 Minuten, da nach dem Platzieren der Spielsteine auf dem Spielbrett eine reflektierende Arbeitsphase folgt</w:t>
      </w:r>
    </w:p>
    <w:p w14:paraId="7FEB5278" w14:textId="77777777" w:rsidR="00E61CA3" w:rsidRDefault="00E61CA3" w:rsidP="00E61CA3">
      <w:pPr>
        <w:rPr>
          <w:lang w:val="de-DE"/>
        </w:rPr>
      </w:pPr>
      <w:r w:rsidRPr="00E61CA3">
        <w:rPr>
          <w:b/>
          <w:bCs/>
          <w:lang w:val="de-DE"/>
        </w:rPr>
        <w:t>Pädagogische Reflexion:</w:t>
      </w:r>
      <w:r w:rsidRPr="00E61CA3">
        <w:rPr>
          <w:b/>
          <w:bCs/>
          <w:lang w:val="de-DE"/>
        </w:rPr>
        <w:br/>
      </w:r>
      <w:r w:rsidRPr="00E61CA3">
        <w:rPr>
          <w:lang w:val="de-DE"/>
        </w:rPr>
        <w:t>Mit diesem Spiel wird versucht, den Unterricht an der Zone der nächsten Entwicklung des Schülers auszurichten, indem ein Thema genutzt wird, das sie aus ihrem Baustellenalltag kennen. In Bezug auf die Zone der nächsten Entwicklung erhalten sie einen unbekannten Input aus dem Modell, aber einen bekannten Input aus den Handlungen der Spielkarten.</w:t>
      </w:r>
      <w:r w:rsidRPr="00E61CA3">
        <w:rPr>
          <w:lang w:val="de-DE"/>
        </w:rPr>
        <w:br/>
      </w:r>
    </w:p>
    <w:p w14:paraId="08A9F877" w14:textId="08C4C5F7" w:rsidR="00E61CA3" w:rsidRPr="00E61CA3" w:rsidRDefault="00E61CA3" w:rsidP="00E61CA3">
      <w:pPr>
        <w:rPr>
          <w:b/>
          <w:bCs/>
          <w:lang w:val="de-DE"/>
        </w:rPr>
      </w:pPr>
      <w:r w:rsidRPr="00E61CA3">
        <w:rPr>
          <w:lang w:val="de-DE"/>
        </w:rPr>
        <w:t>Die Modellierungskompetenz steht hierbei im Mittelpunkt, da der Schüler Modellierung zur theoretischen Verständniserarbeitung nutzen muss – basierend auf dem bekannten Stoff aus der Fallbeschreibung. Als Lehrkraft ist es mein Ziel, dass sie die verschiedenen Perspektiven der Modelle sowie die Begriffe der Modelle verstehen. So sollen sie grundlegend begreifen, dass Nachhaltigkeit mehr ist als nur der ökologische Aspekt. Die Schüler arbeiten somit mit Modellierungsverständnis als Grundlage für das Verständnis von Fachbegriffen</w:t>
      </w:r>
    </w:p>
    <w:p w14:paraId="20773BF7" w14:textId="77777777" w:rsidR="00E61CA3" w:rsidRDefault="00E61CA3" w:rsidP="00E61CA3">
      <w:pPr>
        <w:rPr>
          <w:lang w:val="de-DE"/>
        </w:rPr>
      </w:pPr>
      <w:r w:rsidRPr="00E61CA3">
        <w:rPr>
          <w:b/>
          <w:bCs/>
          <w:lang w:val="de-DE"/>
        </w:rPr>
        <w:t xml:space="preserve">Reflexion im Hinblick auf </w:t>
      </w:r>
      <w:proofErr w:type="spellStart"/>
      <w:r w:rsidRPr="00E61CA3">
        <w:rPr>
          <w:b/>
          <w:bCs/>
          <w:lang w:val="de-DE"/>
        </w:rPr>
        <w:t>Redidaktisierung</w:t>
      </w:r>
      <w:proofErr w:type="spellEnd"/>
      <w:r w:rsidRPr="00E61CA3">
        <w:rPr>
          <w:b/>
          <w:bCs/>
          <w:lang w:val="de-DE"/>
        </w:rPr>
        <w:t>:</w:t>
      </w:r>
      <w:r w:rsidRPr="00E61CA3">
        <w:rPr>
          <w:b/>
          <w:bCs/>
          <w:lang w:val="de-DE"/>
        </w:rPr>
        <w:br/>
      </w:r>
      <w:r w:rsidRPr="00E61CA3">
        <w:rPr>
          <w:lang w:val="de-DE"/>
        </w:rPr>
        <w:t>Es hat gut funktioniert, die Schüler zu aktiven Akteuren in einer ansonsten theoretischen Welt zu machen. Ebenso wirksam war es, Themen aus ihrem eigenen fachlichen Umfeld zu nutzen. Ich habe erlebt, dass die Schüler aktiv waren, diskutiert, reflektiert und Beispiele aus ihrer eigenen Praxis eingebracht haben.</w:t>
      </w:r>
    </w:p>
    <w:p w14:paraId="6ADA2E8D" w14:textId="77777777" w:rsidR="00E61CA3" w:rsidRDefault="00E61CA3" w:rsidP="00E61CA3">
      <w:pPr>
        <w:rPr>
          <w:lang w:val="de-DE"/>
        </w:rPr>
      </w:pPr>
      <w:r w:rsidRPr="00E61CA3">
        <w:rPr>
          <w:lang w:val="de-DE"/>
        </w:rPr>
        <w:lastRenderedPageBreak/>
        <w:br/>
        <w:t>Das Spiel hätte in Bezug auf einzelne Baumaterialien oder Ähnliches konkreter sein können. Beim Fall „Neubau“ hatten einige Schüler geringere Voraussetzungen für die Teilnahme, wenn sie z.</w:t>
      </w:r>
      <w:r w:rsidRPr="00E61CA3">
        <w:rPr>
          <w:rFonts w:ascii="Arial" w:hAnsi="Arial" w:cs="Arial"/>
          <w:lang w:val="de-DE"/>
        </w:rPr>
        <w:t> </w:t>
      </w:r>
      <w:r w:rsidRPr="00E61CA3">
        <w:rPr>
          <w:lang w:val="de-DE"/>
        </w:rPr>
        <w:t>B. in einem kleineren Betrieb ausgebildet werden. Vielleicht h</w:t>
      </w:r>
      <w:r w:rsidRPr="00E61CA3">
        <w:rPr>
          <w:rFonts w:ascii="Aptos" w:hAnsi="Aptos" w:cs="Aptos"/>
          <w:lang w:val="de-DE"/>
        </w:rPr>
        <w:t>ä</w:t>
      </w:r>
      <w:r w:rsidRPr="00E61CA3">
        <w:rPr>
          <w:lang w:val="de-DE"/>
        </w:rPr>
        <w:t>tte dies erweitert und in Bezug zum Material auf materialepyramiden.dk gesetzt werden k</w:t>
      </w:r>
      <w:r w:rsidRPr="00E61CA3">
        <w:rPr>
          <w:rFonts w:ascii="Aptos" w:hAnsi="Aptos" w:cs="Aptos"/>
          <w:lang w:val="de-DE"/>
        </w:rPr>
        <w:t>ö</w:t>
      </w:r>
      <w:r w:rsidRPr="00E61CA3">
        <w:rPr>
          <w:lang w:val="de-DE"/>
        </w:rPr>
        <w:t>nnen, um noch n</w:t>
      </w:r>
      <w:r w:rsidRPr="00E61CA3">
        <w:rPr>
          <w:rFonts w:ascii="Aptos" w:hAnsi="Aptos" w:cs="Aptos"/>
          <w:lang w:val="de-DE"/>
        </w:rPr>
        <w:t>ä</w:t>
      </w:r>
      <w:r w:rsidRPr="00E61CA3">
        <w:rPr>
          <w:lang w:val="de-DE"/>
        </w:rPr>
        <w:t>her an die Zone der n</w:t>
      </w:r>
      <w:r w:rsidRPr="00E61CA3">
        <w:rPr>
          <w:rFonts w:ascii="Aptos" w:hAnsi="Aptos" w:cs="Aptos"/>
          <w:lang w:val="de-DE"/>
        </w:rPr>
        <w:t>ä</w:t>
      </w:r>
      <w:r w:rsidRPr="00E61CA3">
        <w:rPr>
          <w:lang w:val="de-DE"/>
        </w:rPr>
        <w:t>chsten Entwicklung des Sch</w:t>
      </w:r>
      <w:r w:rsidRPr="00E61CA3">
        <w:rPr>
          <w:rFonts w:ascii="Aptos" w:hAnsi="Aptos" w:cs="Aptos"/>
          <w:lang w:val="de-DE"/>
        </w:rPr>
        <w:t>ü</w:t>
      </w:r>
      <w:r w:rsidRPr="00E61CA3">
        <w:rPr>
          <w:lang w:val="de-DE"/>
        </w:rPr>
        <w:t>lers heranzukommen.</w:t>
      </w:r>
    </w:p>
    <w:p w14:paraId="7958CCD4" w14:textId="19444365" w:rsidR="00E61CA3" w:rsidRPr="00E61CA3" w:rsidRDefault="00E61CA3" w:rsidP="00E61CA3">
      <w:pPr>
        <w:rPr>
          <w:b/>
          <w:bCs/>
        </w:rPr>
      </w:pPr>
      <w:r w:rsidRPr="00E61CA3">
        <w:rPr>
          <w:lang w:val="de-DE"/>
        </w:rPr>
        <w:br/>
        <w:t>Die Sch</w:t>
      </w:r>
      <w:r w:rsidRPr="00E61CA3">
        <w:rPr>
          <w:rFonts w:ascii="Aptos" w:hAnsi="Aptos" w:cs="Aptos"/>
          <w:lang w:val="de-DE"/>
        </w:rPr>
        <w:t>ü</w:t>
      </w:r>
      <w:r w:rsidRPr="00E61CA3">
        <w:rPr>
          <w:lang w:val="de-DE"/>
        </w:rPr>
        <w:t>ler konnten an vielen Stellen eigene Beitr</w:t>
      </w:r>
      <w:r w:rsidRPr="00E61CA3">
        <w:rPr>
          <w:rFonts w:ascii="Aptos" w:hAnsi="Aptos" w:cs="Aptos"/>
          <w:lang w:val="de-DE"/>
        </w:rPr>
        <w:t>ä</w:t>
      </w:r>
      <w:r w:rsidRPr="00E61CA3">
        <w:rPr>
          <w:lang w:val="de-DE"/>
        </w:rPr>
        <w:t>ge einbringen und hatten zahlreiche Ideen, was ebenfalls auf dem Spielbrett h</w:t>
      </w:r>
      <w:r w:rsidRPr="00E61CA3">
        <w:rPr>
          <w:rFonts w:ascii="Aptos" w:hAnsi="Aptos" w:cs="Aptos"/>
          <w:lang w:val="de-DE"/>
        </w:rPr>
        <w:t>ä</w:t>
      </w:r>
      <w:r w:rsidRPr="00E61CA3">
        <w:rPr>
          <w:lang w:val="de-DE"/>
        </w:rPr>
        <w:t>tte stehen k</w:t>
      </w:r>
      <w:r w:rsidRPr="00E61CA3">
        <w:rPr>
          <w:rFonts w:ascii="Aptos" w:hAnsi="Aptos" w:cs="Aptos"/>
          <w:lang w:val="de-DE"/>
        </w:rPr>
        <w:t>ö</w:t>
      </w:r>
      <w:r w:rsidRPr="00E61CA3">
        <w:rPr>
          <w:lang w:val="de-DE"/>
        </w:rPr>
        <w:t xml:space="preserve">nnen. </w:t>
      </w:r>
      <w:proofErr w:type="spellStart"/>
      <w:r w:rsidRPr="00E61CA3">
        <w:t>Daher</w:t>
      </w:r>
      <w:proofErr w:type="spellEnd"/>
      <w:r w:rsidRPr="00E61CA3">
        <w:t xml:space="preserve"> </w:t>
      </w:r>
      <w:proofErr w:type="spellStart"/>
      <w:r w:rsidRPr="00E61CA3">
        <w:t>w</w:t>
      </w:r>
      <w:r w:rsidRPr="00E61CA3">
        <w:rPr>
          <w:rFonts w:ascii="Aptos" w:hAnsi="Aptos" w:cs="Aptos"/>
        </w:rPr>
        <w:t>ä</w:t>
      </w:r>
      <w:r w:rsidRPr="00E61CA3">
        <w:t>ren</w:t>
      </w:r>
      <w:proofErr w:type="spellEnd"/>
      <w:r w:rsidRPr="00E61CA3">
        <w:t xml:space="preserve"> </w:t>
      </w:r>
      <w:proofErr w:type="spellStart"/>
      <w:r w:rsidRPr="00E61CA3">
        <w:t>mehr</w:t>
      </w:r>
      <w:proofErr w:type="spellEnd"/>
      <w:r w:rsidRPr="00E61CA3">
        <w:t xml:space="preserve"> </w:t>
      </w:r>
      <w:proofErr w:type="spellStart"/>
      <w:r w:rsidRPr="00E61CA3">
        <w:t>Felder</w:t>
      </w:r>
      <w:proofErr w:type="spellEnd"/>
      <w:r w:rsidRPr="00E61CA3">
        <w:t xml:space="preserve"> mit </w:t>
      </w:r>
      <w:r w:rsidRPr="00E61CA3">
        <w:rPr>
          <w:rFonts w:ascii="Aptos" w:hAnsi="Aptos" w:cs="Aptos"/>
        </w:rPr>
        <w:t>„</w:t>
      </w:r>
      <w:r w:rsidRPr="00E61CA3">
        <w:t>Input von dir</w:t>
      </w:r>
      <w:r w:rsidRPr="00E61CA3">
        <w:rPr>
          <w:rFonts w:ascii="Aptos" w:hAnsi="Aptos" w:cs="Aptos"/>
        </w:rPr>
        <w:t>“</w:t>
      </w:r>
      <w:r w:rsidRPr="00E61CA3">
        <w:t xml:space="preserve"> </w:t>
      </w:r>
      <w:proofErr w:type="spellStart"/>
      <w:proofErr w:type="gramStart"/>
      <w:r w:rsidRPr="00E61CA3">
        <w:t>sinnvoll</w:t>
      </w:r>
      <w:proofErr w:type="spellEnd"/>
      <w:r w:rsidRPr="00E61CA3">
        <w:t>.*</w:t>
      </w:r>
      <w:proofErr w:type="gramEnd"/>
      <w:r w:rsidRPr="00E61CA3">
        <w:t>*</w:t>
      </w:r>
    </w:p>
    <w:p w14:paraId="05A0178A" w14:textId="7B54A55D" w:rsidR="00D56C76" w:rsidRDefault="00D56C76" w:rsidP="00E61CA3"/>
    <w:sectPr w:rsidR="00D56C76">
      <w:foot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5230A" w14:textId="77777777" w:rsidR="003C5595" w:rsidRDefault="003C5595" w:rsidP="00AC4270">
      <w:pPr>
        <w:spacing w:after="0" w:line="240" w:lineRule="auto"/>
      </w:pPr>
      <w:r>
        <w:separator/>
      </w:r>
    </w:p>
  </w:endnote>
  <w:endnote w:type="continuationSeparator" w:id="0">
    <w:p w14:paraId="4A67614E" w14:textId="77777777" w:rsidR="003C5595" w:rsidRDefault="003C5595" w:rsidP="00AC4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AD617" w14:textId="71B51820" w:rsidR="00AC4270" w:rsidRDefault="00AC4270">
    <w:pPr>
      <w:pStyle w:val="Sidefod"/>
    </w:pPr>
    <w:r w:rsidRPr="00AC4270">
      <w:rPr>
        <w:noProof/>
      </w:rPr>
      <w:drawing>
        <wp:anchor distT="0" distB="0" distL="114300" distR="114300" simplePos="0" relativeHeight="251658240" behindDoc="0" locked="0" layoutInCell="1" allowOverlap="1" wp14:anchorId="4B6B6A5A" wp14:editId="74D88067">
          <wp:simplePos x="0" y="0"/>
          <wp:positionH relativeFrom="column">
            <wp:posOffset>3461992</wp:posOffset>
          </wp:positionH>
          <wp:positionV relativeFrom="paragraph">
            <wp:posOffset>-228627</wp:posOffset>
          </wp:positionV>
          <wp:extent cx="2692538" cy="577880"/>
          <wp:effectExtent l="0" t="0" r="0" b="0"/>
          <wp:wrapSquare wrapText="bothSides"/>
          <wp:docPr id="5864709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7095" name=""/>
                  <pic:cNvPicPr/>
                </pic:nvPicPr>
                <pic:blipFill>
                  <a:blip r:embed="rId1">
                    <a:extLst>
                      <a:ext uri="{28A0092B-C50C-407E-A947-70E740481C1C}">
                        <a14:useLocalDpi xmlns:a14="http://schemas.microsoft.com/office/drawing/2010/main" val="0"/>
                      </a:ext>
                    </a:extLst>
                  </a:blip>
                  <a:stretch>
                    <a:fillRect/>
                  </a:stretch>
                </pic:blipFill>
                <pic:spPr>
                  <a:xfrm>
                    <a:off x="0" y="0"/>
                    <a:ext cx="2692538" cy="57788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EF2E2" w14:textId="77777777" w:rsidR="003C5595" w:rsidRDefault="003C5595" w:rsidP="00AC4270">
      <w:pPr>
        <w:spacing w:after="0" w:line="240" w:lineRule="auto"/>
      </w:pPr>
      <w:r>
        <w:separator/>
      </w:r>
    </w:p>
  </w:footnote>
  <w:footnote w:type="continuationSeparator" w:id="0">
    <w:p w14:paraId="1861554C" w14:textId="77777777" w:rsidR="003C5595" w:rsidRDefault="003C5595" w:rsidP="00AC42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613819"/>
    <w:multiLevelType w:val="hybridMultilevel"/>
    <w:tmpl w:val="A9DA9AF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5A0778BC"/>
    <w:multiLevelType w:val="multilevel"/>
    <w:tmpl w:val="0F882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2168063">
    <w:abstractNumId w:val="0"/>
  </w:num>
  <w:num w:numId="2" w16cid:durableId="1015183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C76"/>
    <w:rsid w:val="000B2AFF"/>
    <w:rsid w:val="0012509A"/>
    <w:rsid w:val="001465FA"/>
    <w:rsid w:val="003714F8"/>
    <w:rsid w:val="003C5595"/>
    <w:rsid w:val="003D015C"/>
    <w:rsid w:val="00481863"/>
    <w:rsid w:val="006078BB"/>
    <w:rsid w:val="006F129D"/>
    <w:rsid w:val="007A13B0"/>
    <w:rsid w:val="008C3B85"/>
    <w:rsid w:val="00992030"/>
    <w:rsid w:val="009D0BF3"/>
    <w:rsid w:val="00AC4270"/>
    <w:rsid w:val="00D56C76"/>
    <w:rsid w:val="00E61CA3"/>
    <w:rsid w:val="00F47873"/>
    <w:rsid w:val="00F5252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C72E9"/>
  <w15:chartTrackingRefBased/>
  <w15:docId w15:val="{38B2CBD9-BB2C-4BF9-8A73-4B6F32FA7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56C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56C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56C7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56C7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56C7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56C7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56C7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56C7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56C76"/>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56C7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56C7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56C76"/>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56C76"/>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56C76"/>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56C76"/>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56C76"/>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56C76"/>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56C76"/>
    <w:rPr>
      <w:rFonts w:eastAsiaTheme="majorEastAsia" w:cstheme="majorBidi"/>
      <w:color w:val="272727" w:themeColor="text1" w:themeTint="D8"/>
    </w:rPr>
  </w:style>
  <w:style w:type="paragraph" w:styleId="Titel">
    <w:name w:val="Title"/>
    <w:basedOn w:val="Normal"/>
    <w:next w:val="Normal"/>
    <w:link w:val="TitelTegn"/>
    <w:uiPriority w:val="10"/>
    <w:qFormat/>
    <w:rsid w:val="00D56C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56C76"/>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56C76"/>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56C76"/>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56C76"/>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56C76"/>
    <w:rPr>
      <w:i/>
      <w:iCs/>
      <w:color w:val="404040" w:themeColor="text1" w:themeTint="BF"/>
    </w:rPr>
  </w:style>
  <w:style w:type="paragraph" w:styleId="Listeafsnit">
    <w:name w:val="List Paragraph"/>
    <w:basedOn w:val="Normal"/>
    <w:uiPriority w:val="34"/>
    <w:qFormat/>
    <w:rsid w:val="00D56C76"/>
    <w:pPr>
      <w:ind w:left="720"/>
      <w:contextualSpacing/>
    </w:pPr>
  </w:style>
  <w:style w:type="character" w:styleId="Kraftigfremhvning">
    <w:name w:val="Intense Emphasis"/>
    <w:basedOn w:val="Standardskrifttypeiafsnit"/>
    <w:uiPriority w:val="21"/>
    <w:qFormat/>
    <w:rsid w:val="00D56C76"/>
    <w:rPr>
      <w:i/>
      <w:iCs/>
      <w:color w:val="0F4761" w:themeColor="accent1" w:themeShade="BF"/>
    </w:rPr>
  </w:style>
  <w:style w:type="paragraph" w:styleId="Strktcitat">
    <w:name w:val="Intense Quote"/>
    <w:basedOn w:val="Normal"/>
    <w:next w:val="Normal"/>
    <w:link w:val="StrktcitatTegn"/>
    <w:uiPriority w:val="30"/>
    <w:qFormat/>
    <w:rsid w:val="00D56C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56C76"/>
    <w:rPr>
      <w:i/>
      <w:iCs/>
      <w:color w:val="0F4761" w:themeColor="accent1" w:themeShade="BF"/>
    </w:rPr>
  </w:style>
  <w:style w:type="character" w:styleId="Kraftighenvisning">
    <w:name w:val="Intense Reference"/>
    <w:basedOn w:val="Standardskrifttypeiafsnit"/>
    <w:uiPriority w:val="32"/>
    <w:qFormat/>
    <w:rsid w:val="00D56C76"/>
    <w:rPr>
      <w:b/>
      <w:bCs/>
      <w:smallCaps/>
      <w:color w:val="0F4761" w:themeColor="accent1" w:themeShade="BF"/>
      <w:spacing w:val="5"/>
    </w:rPr>
  </w:style>
  <w:style w:type="paragraph" w:styleId="Sidehoved">
    <w:name w:val="header"/>
    <w:basedOn w:val="Normal"/>
    <w:link w:val="SidehovedTegn"/>
    <w:uiPriority w:val="99"/>
    <w:unhideWhenUsed/>
    <w:rsid w:val="00AC427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C4270"/>
  </w:style>
  <w:style w:type="paragraph" w:styleId="Sidefod">
    <w:name w:val="footer"/>
    <w:basedOn w:val="Normal"/>
    <w:link w:val="SidefodTegn"/>
    <w:uiPriority w:val="99"/>
    <w:unhideWhenUsed/>
    <w:rsid w:val="00AC427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C4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EA71F2-B5F8-485C-ABF5-2C63D8D6BA88}"/>
</file>

<file path=customXml/itemProps2.xml><?xml version="1.0" encoding="utf-8"?>
<ds:datastoreItem xmlns:ds="http://schemas.openxmlformats.org/officeDocument/2006/customXml" ds:itemID="{2A8B61C8-1677-441D-A09A-AFBA3053332B}"/>
</file>

<file path=customXml/itemProps3.xml><?xml version="1.0" encoding="utf-8"?>
<ds:datastoreItem xmlns:ds="http://schemas.openxmlformats.org/officeDocument/2006/customXml" ds:itemID="{57333450-8B99-4720-A77C-ED9DE06CE107}"/>
</file>

<file path=docProps/app.xml><?xml version="1.0" encoding="utf-8"?>
<Properties xmlns="http://schemas.openxmlformats.org/officeDocument/2006/extended-properties" xmlns:vt="http://schemas.openxmlformats.org/officeDocument/2006/docPropsVTypes">
  <Template>Normal.dotm</Template>
  <TotalTime>509</TotalTime>
  <Pages>2</Pages>
  <Words>374</Words>
  <Characters>2581</Characters>
  <Application>Microsoft Office Word</Application>
  <DocSecurity>0</DocSecurity>
  <Lines>516</Lines>
  <Paragraphs>118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Matilde Bøgelund</dc:creator>
  <cp:keywords/>
  <dc:description/>
  <cp:lastModifiedBy>Camilla Hyldahl Grøn</cp:lastModifiedBy>
  <cp:revision>9</cp:revision>
  <dcterms:created xsi:type="dcterms:W3CDTF">2025-11-06T12:01:00Z</dcterms:created>
  <dcterms:modified xsi:type="dcterms:W3CDTF">2026-03-10T10:07:00Z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