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2E23" w14:textId="1DAB5536" w:rsidR="00D56C76" w:rsidRPr="006F129D" w:rsidRDefault="00D56C76">
      <w:pPr>
        <w:rPr>
          <w:b/>
          <w:bCs/>
        </w:rPr>
      </w:pPr>
      <w:r w:rsidRPr="00D56C76">
        <w:rPr>
          <w:b/>
          <w:bCs/>
        </w:rPr>
        <w:t>Didaktiske refleksioner af læringsmiddel</w:t>
      </w:r>
    </w:p>
    <w:p w14:paraId="2D8A0D73" w14:textId="6B39EDF3" w:rsidR="00D56C76" w:rsidRDefault="00D56C76">
      <w:pPr>
        <w:rPr>
          <w:b/>
          <w:bCs/>
        </w:rPr>
      </w:pPr>
      <w:r w:rsidRPr="00D56C76">
        <w:rPr>
          <w:b/>
          <w:bCs/>
        </w:rPr>
        <w:t>Læringsmiddel:</w:t>
      </w:r>
    </w:p>
    <w:p w14:paraId="7823FDA1" w14:textId="6B21BC5A" w:rsidR="009D0BF3" w:rsidRDefault="009D0BF3">
      <w:r w:rsidRPr="009D0BF3">
        <w:t>Læringsmidlet er</w:t>
      </w:r>
      <w:r>
        <w:t xml:space="preserve"> to spil, som er udarbejdet omhandlende modeller i relation til elevens egen fagretning. </w:t>
      </w:r>
      <w:r w:rsidRPr="009D0BF3">
        <w:t xml:space="preserve"> </w:t>
      </w:r>
      <w:r>
        <w:t xml:space="preserve">De to spil </w:t>
      </w:r>
      <w:r w:rsidR="008C3B85">
        <w:t>er præsenteret</w:t>
      </w:r>
      <w:r>
        <w:t xml:space="preserve"> nedenfor:</w:t>
      </w:r>
    </w:p>
    <w:p w14:paraId="0F2C8AA4" w14:textId="4CC99DD2" w:rsidR="009D0BF3" w:rsidRDefault="009D0BF3" w:rsidP="009D0BF3">
      <w:pPr>
        <w:pStyle w:val="Listeafsnit"/>
        <w:numPr>
          <w:ilvl w:val="0"/>
          <w:numId w:val="1"/>
        </w:numPr>
      </w:pPr>
      <w:r>
        <w:t xml:space="preserve">Bæredygtighedsmodellen: </w:t>
      </w:r>
      <w:r w:rsidR="006F129D">
        <w:t xml:space="preserve">der er udarbejdet spillekort der omhandler casen </w:t>
      </w:r>
      <w:r w:rsidR="006F129D">
        <w:rPr>
          <w:i/>
          <w:iCs/>
        </w:rPr>
        <w:t>Nybyggeri ved typehus</w:t>
      </w:r>
    </w:p>
    <w:p w14:paraId="113922AE" w14:textId="6FB2A05D" w:rsidR="009D0BF3" w:rsidRPr="006F129D" w:rsidRDefault="009D0BF3" w:rsidP="009D0BF3">
      <w:pPr>
        <w:pStyle w:val="Listeafsnit"/>
        <w:numPr>
          <w:ilvl w:val="0"/>
          <w:numId w:val="1"/>
        </w:numPr>
      </w:pPr>
      <w:r>
        <w:t>Den tredobbelte bundlinje:</w:t>
      </w:r>
      <w:r w:rsidR="006F129D">
        <w:t xml:space="preserve"> </w:t>
      </w:r>
      <w:r w:rsidR="006F129D">
        <w:t>der er udarbejdet spillekort der omhandler casen</w:t>
      </w:r>
      <w:r w:rsidR="006F129D">
        <w:t xml:space="preserve"> </w:t>
      </w:r>
      <w:r w:rsidR="006F129D">
        <w:rPr>
          <w:i/>
          <w:iCs/>
        </w:rPr>
        <w:t>Tømrer i praksis</w:t>
      </w:r>
    </w:p>
    <w:p w14:paraId="32A2D27A" w14:textId="3AA493BA" w:rsidR="006F129D" w:rsidRDefault="006F129D" w:rsidP="006F129D">
      <w:r>
        <w:t>*Spillene kan bruges i sammenhæng, da begge modeller i sammenhæng giver eleverne et brede</w:t>
      </w:r>
      <w:r w:rsidR="008C3B85">
        <w:t>re</w:t>
      </w:r>
      <w:r>
        <w:t xml:space="preserve"> perspektiv på de tre aspekter i</w:t>
      </w:r>
      <w:r w:rsidR="008C3B85">
        <w:t>ndenfor</w:t>
      </w:r>
      <w:r>
        <w:t xml:space="preserve"> bæredygtighed. </w:t>
      </w:r>
    </w:p>
    <w:p w14:paraId="6ABBB140" w14:textId="58C7BDEB" w:rsidR="00D56C76" w:rsidRDefault="006F129D">
      <w:r>
        <w:t>**Der kan med fordel anvendes en refleksion iblandt matrixgrupper eller plenum opsamling</w:t>
      </w:r>
      <w:r w:rsidR="008C3B85">
        <w:t xml:space="preserve"> efterfølgende</w:t>
      </w:r>
      <w:r>
        <w:t xml:space="preserve">. </w:t>
      </w:r>
    </w:p>
    <w:p w14:paraId="3030335B" w14:textId="1227BC31" w:rsidR="00D56C76" w:rsidRPr="00D56C76" w:rsidRDefault="00D56C76">
      <w:pPr>
        <w:rPr>
          <w:b/>
          <w:bCs/>
        </w:rPr>
      </w:pPr>
      <w:r w:rsidRPr="00D56C76">
        <w:rPr>
          <w:b/>
          <w:bCs/>
        </w:rPr>
        <w:t>Refleksion over praksis ud fra deltagerobservation:</w:t>
      </w:r>
    </w:p>
    <w:p w14:paraId="60972D84" w14:textId="2D2DAF89" w:rsidR="00D56C76" w:rsidRDefault="00D56C76">
      <w:r>
        <w:t>Læringsmidlet er afprøvet på to hold i faget: bæredygtigt byggeri og samfund. Det er hovedforløb 1 og 2 i klasser på omkring 20 elever.</w:t>
      </w:r>
      <w:r w:rsidR="006F129D">
        <w:t xml:space="preserve"> Læringsmidlet tager 30 min pr. spil, da der er reflekterende arbejde efter brikkerne er lagt på spillepladen.</w:t>
      </w:r>
    </w:p>
    <w:p w14:paraId="58E14329" w14:textId="1095F108" w:rsidR="00D56C76" w:rsidRPr="00D56C76" w:rsidRDefault="00D56C76">
      <w:pPr>
        <w:rPr>
          <w:b/>
          <w:bCs/>
        </w:rPr>
      </w:pPr>
      <w:r w:rsidRPr="00D56C76">
        <w:rPr>
          <w:b/>
          <w:bCs/>
        </w:rPr>
        <w:t>Pædagogisk refleksion:</w:t>
      </w:r>
    </w:p>
    <w:p w14:paraId="7EEDB270" w14:textId="51D5E61F" w:rsidR="00D56C76" w:rsidRDefault="006078BB">
      <w:r>
        <w:t>Ved dette spil, prøve</w:t>
      </w:r>
      <w:r w:rsidR="008C3B85">
        <w:t>s det</w:t>
      </w:r>
      <w:r>
        <w:t xml:space="preserve"> at </w:t>
      </w:r>
      <w:r w:rsidR="008C3B85">
        <w:t>undervisningen arbejder omkring</w:t>
      </w:r>
      <w:r>
        <w:t xml:space="preserve"> z</w:t>
      </w:r>
      <w:r w:rsidR="009D0BF3">
        <w:t>onen for nærmeste læring</w:t>
      </w:r>
      <w:r>
        <w:t xml:space="preserve"> hos eleven, ved at bruge et emne som de kan relatere til indenfor deres byggeplads. Når vi her taler om zonen for nærmeste læring får de et ukendt input fra modellen, men et kendt input fra spillekortenes handling.</w:t>
      </w:r>
    </w:p>
    <w:p w14:paraId="3763EEDF" w14:textId="7D96CC88" w:rsidR="00D56C76" w:rsidRDefault="009D0BF3">
      <w:r>
        <w:t>Modelleringskompetencen</w:t>
      </w:r>
      <w:r w:rsidR="006078BB">
        <w:t xml:space="preserve"> bliver i denne relation sat i fokus, da eleven skal benytte modellering til teoretisk forståelse. Dette gennem et kendt stof i casen. </w:t>
      </w:r>
      <w:r w:rsidR="003714F8">
        <w:t xml:space="preserve">I denne relation, ønsker jeg som lærer, at de forstår de forskellige </w:t>
      </w:r>
      <w:r w:rsidR="008C3B85">
        <w:t>perspektiver</w:t>
      </w:r>
      <w:r w:rsidR="003714F8">
        <w:t xml:space="preserve"> i modellerne, og begreberne i modelle</w:t>
      </w:r>
      <w:r w:rsidR="008C3B85">
        <w:t>rne</w:t>
      </w:r>
      <w:r w:rsidR="003714F8">
        <w:t xml:space="preserve">. Sådan de grundlæggende forstår, at bæredygtighed er </w:t>
      </w:r>
      <w:r w:rsidR="008C3B85">
        <w:t>mere end det miljømæssige perspektiv</w:t>
      </w:r>
      <w:r w:rsidR="003714F8">
        <w:t xml:space="preserve">. </w:t>
      </w:r>
      <w:r w:rsidR="008C3B85">
        <w:t>Så eleverne arbejder med forståelse af modellering, som grundlag for forståelse af fagbegreber.</w:t>
      </w:r>
    </w:p>
    <w:p w14:paraId="61114427" w14:textId="01B83CD2" w:rsidR="009D0BF3" w:rsidRPr="009D0BF3" w:rsidRDefault="00D56C76">
      <w:pPr>
        <w:rPr>
          <w:b/>
          <w:bCs/>
        </w:rPr>
      </w:pPr>
      <w:r w:rsidRPr="009D0BF3">
        <w:rPr>
          <w:b/>
          <w:bCs/>
        </w:rPr>
        <w:t>Refleksion i relation til redidaktisering:</w:t>
      </w:r>
    </w:p>
    <w:p w14:paraId="4BA05A70" w14:textId="45822DF6" w:rsidR="006078BB" w:rsidRDefault="006078BB">
      <w:r>
        <w:t xml:space="preserve">Det har fungeret godt at gøre eleverne til aktive aktører i en ellers teoretisk verden. Ligesom det har virket at bruge emner indenfor elevens faglige felt. Jeg har oplevet eleverne være aktive, ligesom de har diskuteret, reflekteret og brugt eksempler fra egen praksis. </w:t>
      </w:r>
    </w:p>
    <w:p w14:paraId="6BD59BE3" w14:textId="1266AD72" w:rsidR="006078BB" w:rsidRDefault="006078BB">
      <w:r>
        <w:t xml:space="preserve">Spillet kunne have været mere konkret i forhold til enkelte byggematerialer eller lign. For ved casen om nybyggeri, har nogle elever haft mindre forudsætning for deltagelse, hvis de f.eks. er </w:t>
      </w:r>
      <w:r>
        <w:lastRenderedPageBreak/>
        <w:t xml:space="preserve">i lære i et mindre firma. Måske dette kunne have været udvidet, og sat i relation til materialet på materialepyramiden.dk.  Derved komme endnu tættere på elevens zone for nærmeste læring. </w:t>
      </w:r>
    </w:p>
    <w:p w14:paraId="05A0178A" w14:textId="624D56DE" w:rsidR="00D56C76" w:rsidRDefault="006078BB">
      <w:r>
        <w:t>Eleverne kunne byde ind flere steder, og havde mange ideer til hvad der også kunne ligge på spillepladen. Derfor flere felter med ”input fra dig”</w:t>
      </w:r>
    </w:p>
    <w:sectPr w:rsidR="00D56C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13819"/>
    <w:multiLevelType w:val="hybridMultilevel"/>
    <w:tmpl w:val="A9DA9A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6216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76"/>
    <w:rsid w:val="003714F8"/>
    <w:rsid w:val="003D015C"/>
    <w:rsid w:val="00481863"/>
    <w:rsid w:val="006078BB"/>
    <w:rsid w:val="006F129D"/>
    <w:rsid w:val="008C3B85"/>
    <w:rsid w:val="009D0BF3"/>
    <w:rsid w:val="00D56C76"/>
    <w:rsid w:val="00F478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72E9"/>
  <w15:chartTrackingRefBased/>
  <w15:docId w15:val="{38B2CBD9-BB2C-4BF9-8A73-4B6F32FA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6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6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6C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6C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6C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6C7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6C7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6C7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6C7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6C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6C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6C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6C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6C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6C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6C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6C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6C76"/>
    <w:rPr>
      <w:rFonts w:eastAsiaTheme="majorEastAsia" w:cstheme="majorBidi"/>
      <w:color w:val="272727" w:themeColor="text1" w:themeTint="D8"/>
    </w:rPr>
  </w:style>
  <w:style w:type="paragraph" w:styleId="Titel">
    <w:name w:val="Title"/>
    <w:basedOn w:val="Normal"/>
    <w:next w:val="Normal"/>
    <w:link w:val="TitelTegn"/>
    <w:uiPriority w:val="10"/>
    <w:qFormat/>
    <w:rsid w:val="00D56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6C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6C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6C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6C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6C76"/>
    <w:rPr>
      <w:i/>
      <w:iCs/>
      <w:color w:val="404040" w:themeColor="text1" w:themeTint="BF"/>
    </w:rPr>
  </w:style>
  <w:style w:type="paragraph" w:styleId="Listeafsnit">
    <w:name w:val="List Paragraph"/>
    <w:basedOn w:val="Normal"/>
    <w:uiPriority w:val="34"/>
    <w:qFormat/>
    <w:rsid w:val="00D56C76"/>
    <w:pPr>
      <w:ind w:left="720"/>
      <w:contextualSpacing/>
    </w:pPr>
  </w:style>
  <w:style w:type="character" w:styleId="Kraftigfremhvning">
    <w:name w:val="Intense Emphasis"/>
    <w:basedOn w:val="Standardskrifttypeiafsnit"/>
    <w:uiPriority w:val="21"/>
    <w:qFormat/>
    <w:rsid w:val="00D56C76"/>
    <w:rPr>
      <w:i/>
      <w:iCs/>
      <w:color w:val="0F4761" w:themeColor="accent1" w:themeShade="BF"/>
    </w:rPr>
  </w:style>
  <w:style w:type="paragraph" w:styleId="Strktcitat">
    <w:name w:val="Intense Quote"/>
    <w:basedOn w:val="Normal"/>
    <w:next w:val="Normal"/>
    <w:link w:val="StrktcitatTegn"/>
    <w:uiPriority w:val="30"/>
    <w:qFormat/>
    <w:rsid w:val="00D56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6C76"/>
    <w:rPr>
      <w:i/>
      <w:iCs/>
      <w:color w:val="0F4761" w:themeColor="accent1" w:themeShade="BF"/>
    </w:rPr>
  </w:style>
  <w:style w:type="character" w:styleId="Kraftighenvisning">
    <w:name w:val="Intense Reference"/>
    <w:basedOn w:val="Standardskrifttypeiafsnit"/>
    <w:uiPriority w:val="32"/>
    <w:qFormat/>
    <w:rsid w:val="00D56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505</TotalTime>
  <Pages>2</Pages>
  <Words>362</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Bøgelund</dc:creator>
  <cp:keywords/>
  <dc:description/>
  <cp:lastModifiedBy>Matilde Bøgelund</cp:lastModifiedBy>
  <cp:revision>4</cp:revision>
  <dcterms:created xsi:type="dcterms:W3CDTF">2025-11-06T12:01:00Z</dcterms:created>
  <dcterms:modified xsi:type="dcterms:W3CDTF">2025-11-06T20:45:00Z</dcterms:modified>
</cp:coreProperties>
</file>