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6CDC3" w14:textId="57F10DB2" w:rsidR="00D40AC7" w:rsidRPr="00385F2E" w:rsidRDefault="0099293E" w:rsidP="00D40AC7">
      <w:pPr>
        <w:ind w:left="720"/>
        <w:rPr>
          <w:b/>
          <w:bCs/>
          <w:sz w:val="32"/>
          <w:szCs w:val="32"/>
        </w:rPr>
      </w:pPr>
      <w:r>
        <w:rPr>
          <w:b/>
          <w:bCs/>
          <w:sz w:val="32"/>
          <w:szCs w:val="32"/>
        </w:rPr>
        <w:t>Forside til</w:t>
      </w:r>
      <w:r w:rsidR="00D40AC7" w:rsidRPr="00385F2E">
        <w:rPr>
          <w:b/>
          <w:bCs/>
          <w:sz w:val="32"/>
          <w:szCs w:val="32"/>
        </w:rPr>
        <w:t xml:space="preserve"> undervisningsmaterialer</w:t>
      </w:r>
      <w:r w:rsidR="00385F2E" w:rsidRPr="00385F2E">
        <w:rPr>
          <w:b/>
          <w:bCs/>
          <w:sz w:val="32"/>
          <w:szCs w:val="32"/>
        </w:rPr>
        <w:t xml:space="preserve"> i projekt GerDa</w:t>
      </w:r>
    </w:p>
    <w:p w14:paraId="3A563904" w14:textId="77777777" w:rsidR="003437CF" w:rsidRDefault="003437CF" w:rsidP="0099293E"/>
    <w:tbl>
      <w:tblPr>
        <w:tblStyle w:val="Tabel-Gitter"/>
        <w:tblW w:w="13183" w:type="dxa"/>
        <w:tblInd w:w="1129" w:type="dxa"/>
        <w:tblLook w:val="04A0" w:firstRow="1" w:lastRow="0" w:firstColumn="1" w:lastColumn="0" w:noHBand="0" w:noVBand="1"/>
      </w:tblPr>
      <w:tblGrid>
        <w:gridCol w:w="2835"/>
        <w:gridCol w:w="10348"/>
      </w:tblGrid>
      <w:tr w:rsidR="0099293E" w:rsidRPr="003437CF" w14:paraId="69F54F12" w14:textId="77777777" w:rsidTr="00170D4A">
        <w:tc>
          <w:tcPr>
            <w:tcW w:w="2835" w:type="dxa"/>
          </w:tcPr>
          <w:p w14:paraId="334D32F5" w14:textId="51BF15C1" w:rsidR="0099293E" w:rsidRPr="003437CF" w:rsidRDefault="007668F3" w:rsidP="003437CF">
            <w:pPr>
              <w:ind w:left="27"/>
            </w:pPr>
            <w:r>
              <w:t>Udviklern</w:t>
            </w:r>
            <w:r w:rsidR="0099293E">
              <w:t>avn</w:t>
            </w:r>
          </w:p>
        </w:tc>
        <w:tc>
          <w:tcPr>
            <w:tcW w:w="10348" w:type="dxa"/>
          </w:tcPr>
          <w:p w14:paraId="33A8B35A" w14:textId="759BAAC9" w:rsidR="0099293E" w:rsidRPr="003437CF" w:rsidRDefault="00722B97" w:rsidP="003437CF">
            <w:pPr>
              <w:ind w:left="27"/>
            </w:pPr>
            <w:r>
              <w:t>Claus Baltzer</w:t>
            </w:r>
          </w:p>
        </w:tc>
      </w:tr>
      <w:tr w:rsidR="003437CF" w:rsidRPr="003437CF" w14:paraId="6488A636" w14:textId="46AD45D2" w:rsidTr="00170D4A">
        <w:tc>
          <w:tcPr>
            <w:tcW w:w="2835" w:type="dxa"/>
          </w:tcPr>
          <w:p w14:paraId="20AB3E7B" w14:textId="77777777" w:rsidR="003437CF" w:rsidRPr="003437CF" w:rsidRDefault="003437CF" w:rsidP="003437CF">
            <w:pPr>
              <w:ind w:left="27"/>
            </w:pPr>
            <w:r w:rsidRPr="003437CF">
              <w:t>Fag</w:t>
            </w:r>
          </w:p>
        </w:tc>
        <w:tc>
          <w:tcPr>
            <w:tcW w:w="10348" w:type="dxa"/>
          </w:tcPr>
          <w:p w14:paraId="005C6AA0" w14:textId="2D2DF8EE" w:rsidR="003437CF" w:rsidRPr="003437CF" w:rsidRDefault="00F616FE" w:rsidP="003437CF">
            <w:pPr>
              <w:ind w:left="27"/>
            </w:pPr>
            <w:r>
              <w:t>Introduktion til ESG og ESG-rapportering</w:t>
            </w:r>
            <w:r w:rsidR="00170D4A">
              <w:t xml:space="preserve"> (49990)</w:t>
            </w:r>
          </w:p>
        </w:tc>
      </w:tr>
      <w:tr w:rsidR="00613C82" w:rsidRPr="003437CF" w14:paraId="39B718E9" w14:textId="74732DBA" w:rsidTr="00170D4A">
        <w:tc>
          <w:tcPr>
            <w:tcW w:w="2835" w:type="dxa"/>
          </w:tcPr>
          <w:p w14:paraId="695D41ED" w14:textId="77777777" w:rsidR="00613C82" w:rsidRPr="003437CF" w:rsidRDefault="00613C82" w:rsidP="00613C82">
            <w:pPr>
              <w:ind w:left="27"/>
            </w:pPr>
            <w:r w:rsidRPr="003437CF">
              <w:t>Emne</w:t>
            </w:r>
          </w:p>
        </w:tc>
        <w:tc>
          <w:tcPr>
            <w:tcW w:w="10348" w:type="dxa"/>
          </w:tcPr>
          <w:p w14:paraId="01AE1BDB" w14:textId="1AE33978" w:rsidR="00613C82" w:rsidRPr="003437CF" w:rsidRDefault="00C560C6" w:rsidP="00613C82">
            <w:pPr>
              <w:ind w:left="27"/>
            </w:pPr>
            <w:r>
              <w:t xml:space="preserve">Hele kurset </w:t>
            </w:r>
            <w:r w:rsidR="000D706D">
              <w:t xml:space="preserve">handler om det grundlæggende indenfor </w:t>
            </w:r>
            <w:r>
              <w:t>ESG</w:t>
            </w:r>
            <w:r w:rsidR="000D706D">
              <w:t>. De</w:t>
            </w:r>
            <w:r>
              <w:t>nne del af kurset</w:t>
            </w:r>
            <w:r w:rsidR="0085621A">
              <w:t xml:space="preserve"> med en opgave</w:t>
            </w:r>
            <w:r>
              <w:t xml:space="preserve"> som beskrives </w:t>
            </w:r>
            <w:r w:rsidR="000D706D">
              <w:t>i PP omhandler dilemmaer indenfor ESG.</w:t>
            </w:r>
          </w:p>
        </w:tc>
      </w:tr>
      <w:tr w:rsidR="00613C82" w:rsidRPr="003437CF" w14:paraId="74D83793" w14:textId="0F6F55FC" w:rsidTr="00170D4A">
        <w:tc>
          <w:tcPr>
            <w:tcW w:w="2835" w:type="dxa"/>
          </w:tcPr>
          <w:p w14:paraId="40436721" w14:textId="77777777" w:rsidR="00613C82" w:rsidRPr="003437CF" w:rsidRDefault="00613C82" w:rsidP="00613C82">
            <w:pPr>
              <w:ind w:left="27"/>
            </w:pPr>
            <w:r w:rsidRPr="003437CF">
              <w:t>Målgruppe / niveau</w:t>
            </w:r>
          </w:p>
        </w:tc>
        <w:tc>
          <w:tcPr>
            <w:tcW w:w="10348" w:type="dxa"/>
          </w:tcPr>
          <w:p w14:paraId="3D426B95" w14:textId="4314E836" w:rsidR="00613C82" w:rsidRPr="003437CF" w:rsidRDefault="00613C82" w:rsidP="00613C82">
            <w:pPr>
              <w:ind w:left="27"/>
            </w:pPr>
            <w:r>
              <w:t xml:space="preserve">Over 18 år, Både i beskæftigelse </w:t>
            </w:r>
            <w:r w:rsidR="0091307C">
              <w:t>og</w:t>
            </w:r>
            <w:r>
              <w:t xml:space="preserve"> ledige. Grundlæggende </w:t>
            </w:r>
            <w:r w:rsidR="00390624">
              <w:t>arbejdsmarkeds</w:t>
            </w:r>
            <w:r>
              <w:t>uddannelse</w:t>
            </w:r>
          </w:p>
        </w:tc>
      </w:tr>
      <w:tr w:rsidR="00613C82" w:rsidRPr="003437CF" w14:paraId="0EFE403D" w14:textId="3826051A" w:rsidTr="00170D4A">
        <w:tc>
          <w:tcPr>
            <w:tcW w:w="2835" w:type="dxa"/>
          </w:tcPr>
          <w:p w14:paraId="25D8F365" w14:textId="77777777" w:rsidR="00613C82" w:rsidRPr="003437CF" w:rsidRDefault="00613C82" w:rsidP="00613C82">
            <w:pPr>
              <w:ind w:left="27"/>
            </w:pPr>
            <w:r w:rsidRPr="003437CF">
              <w:t>Kompetencemål / læringsmål</w:t>
            </w:r>
          </w:p>
        </w:tc>
        <w:tc>
          <w:tcPr>
            <w:tcW w:w="10348" w:type="dxa"/>
          </w:tcPr>
          <w:p w14:paraId="4C15F82F" w14:textId="77777777" w:rsidR="005C2B9E" w:rsidRDefault="00613C82" w:rsidP="00613C82">
            <w:pPr>
              <w:ind w:left="27"/>
            </w:pPr>
            <w:r>
              <w:t>Er et Kursus</w:t>
            </w:r>
            <w:r w:rsidR="005C2B9E">
              <w:t xml:space="preserve">. </w:t>
            </w:r>
          </w:p>
          <w:p w14:paraId="15306BBC" w14:textId="046C5C1A" w:rsidR="00613C82" w:rsidRDefault="005C2B9E" w:rsidP="00613C82">
            <w:pPr>
              <w:ind w:left="27"/>
            </w:pPr>
            <w:r>
              <w:t>S</w:t>
            </w:r>
            <w:r w:rsidR="00613C82">
              <w:t>amlede mål for kursus er at d</w:t>
            </w:r>
            <w:r w:rsidR="00613C82" w:rsidRPr="005445B9">
              <w:t xml:space="preserve">eltageren får </w:t>
            </w:r>
            <w:r w:rsidR="00216C24">
              <w:t xml:space="preserve">grundlæggende </w:t>
            </w:r>
            <w:r w:rsidR="00613C82" w:rsidRPr="005445B9">
              <w:t xml:space="preserve">forståelse af </w:t>
            </w:r>
            <w:r w:rsidR="00216C24" w:rsidRPr="00216C24">
              <w:t xml:space="preserve">begreber, nøgletal, kompetencer og standarder for ESG og viden om lovgivningskrav til virksomhedens ESG og bæredygtighedsrapportering. </w:t>
            </w:r>
            <w:r w:rsidR="005B7FE6">
              <w:t>Kursister</w:t>
            </w:r>
            <w:r w:rsidR="00216C24" w:rsidRPr="00216C24">
              <w:t xml:space="preserve"> kan medvirke til virksomhedens opstart af proces</w:t>
            </w:r>
            <w:r w:rsidR="005B7FE6">
              <w:t xml:space="preserve"> med ESG.</w:t>
            </w:r>
          </w:p>
          <w:p w14:paraId="3D7AECA5" w14:textId="77777777" w:rsidR="005C2B9E" w:rsidRDefault="005C2B9E" w:rsidP="005C2B9E">
            <w:r>
              <w:t>Læringsmål/dannelsesperspektiv beskrives senere for opgaven i kurset.</w:t>
            </w:r>
          </w:p>
          <w:p w14:paraId="46622038" w14:textId="77777777" w:rsidR="005C2B9E" w:rsidRDefault="005C2B9E" w:rsidP="00613C82">
            <w:pPr>
              <w:ind w:left="27"/>
            </w:pPr>
          </w:p>
          <w:p w14:paraId="259E8559" w14:textId="77777777" w:rsidR="00613C82" w:rsidRPr="003437CF" w:rsidRDefault="00613C82" w:rsidP="00613C82">
            <w:pPr>
              <w:ind w:left="27"/>
            </w:pPr>
          </w:p>
        </w:tc>
      </w:tr>
      <w:tr w:rsidR="003437CF" w:rsidRPr="003437CF" w14:paraId="69B0C777" w14:textId="4D6E6513" w:rsidTr="00170D4A">
        <w:tc>
          <w:tcPr>
            <w:tcW w:w="2835" w:type="dxa"/>
          </w:tcPr>
          <w:p w14:paraId="43469FF6" w14:textId="77777777" w:rsidR="003437CF" w:rsidRDefault="003437CF" w:rsidP="003437CF">
            <w:pPr>
              <w:ind w:left="27"/>
            </w:pPr>
            <w:r w:rsidRPr="003437CF">
              <w:t>Materialets form</w:t>
            </w:r>
            <w:r>
              <w:t xml:space="preserve">: </w:t>
            </w:r>
          </w:p>
          <w:p w14:paraId="0773866C" w14:textId="77777777" w:rsidR="003437CF" w:rsidRDefault="003437CF" w:rsidP="003437CF">
            <w:pPr>
              <w:pStyle w:val="Listeafsnit"/>
              <w:numPr>
                <w:ilvl w:val="1"/>
                <w:numId w:val="1"/>
              </w:numPr>
              <w:ind w:left="598" w:hanging="425"/>
            </w:pPr>
            <w:r>
              <w:t>En film</w:t>
            </w:r>
          </w:p>
          <w:p w14:paraId="75F89FD8" w14:textId="77777777" w:rsidR="003437CF" w:rsidRDefault="003437CF" w:rsidP="003437CF">
            <w:pPr>
              <w:pStyle w:val="Listeafsnit"/>
              <w:numPr>
                <w:ilvl w:val="1"/>
                <w:numId w:val="1"/>
              </w:numPr>
              <w:ind w:left="598" w:hanging="425"/>
            </w:pPr>
            <w:r>
              <w:t>En PP</w:t>
            </w:r>
          </w:p>
          <w:p w14:paraId="5E190DAA" w14:textId="77777777" w:rsidR="003437CF" w:rsidRDefault="003437CF" w:rsidP="003437CF">
            <w:pPr>
              <w:pStyle w:val="Listeafsnit"/>
              <w:numPr>
                <w:ilvl w:val="1"/>
                <w:numId w:val="1"/>
              </w:numPr>
              <w:ind w:left="598" w:hanging="425"/>
            </w:pPr>
            <w:r>
              <w:t>Et spil</w:t>
            </w:r>
          </w:p>
          <w:p w14:paraId="022E17B1" w14:textId="77777777" w:rsidR="003437CF" w:rsidRDefault="003437CF" w:rsidP="003437CF">
            <w:pPr>
              <w:pStyle w:val="Listeafsnit"/>
              <w:numPr>
                <w:ilvl w:val="1"/>
                <w:numId w:val="1"/>
              </w:numPr>
              <w:ind w:left="598" w:hanging="425"/>
            </w:pPr>
            <w:r>
              <w:t>Beskrivelse af en temadag/e/uge</w:t>
            </w:r>
          </w:p>
          <w:p w14:paraId="3D4F881D" w14:textId="77777777" w:rsidR="003437CF" w:rsidRDefault="003437CF" w:rsidP="003437CF">
            <w:pPr>
              <w:pStyle w:val="Listeafsnit"/>
              <w:numPr>
                <w:ilvl w:val="1"/>
                <w:numId w:val="1"/>
              </w:numPr>
              <w:ind w:left="598" w:hanging="425"/>
            </w:pPr>
            <w:r>
              <w:t>Lektionsplan/er til undervisning</w:t>
            </w:r>
          </w:p>
          <w:p w14:paraId="2F259DD3" w14:textId="77777777" w:rsidR="003437CF" w:rsidRDefault="003437CF" w:rsidP="003437CF">
            <w:pPr>
              <w:pStyle w:val="Listeafsnit"/>
              <w:numPr>
                <w:ilvl w:val="1"/>
                <w:numId w:val="1"/>
              </w:numPr>
              <w:ind w:left="598" w:hanging="425"/>
            </w:pPr>
            <w:r>
              <w:t>Konkrete opgave/r</w:t>
            </w:r>
          </w:p>
          <w:p w14:paraId="5124779A" w14:textId="77777777" w:rsidR="003437CF" w:rsidRDefault="003437CF" w:rsidP="003437CF">
            <w:pPr>
              <w:pStyle w:val="Listeafsnit"/>
              <w:numPr>
                <w:ilvl w:val="1"/>
                <w:numId w:val="1"/>
              </w:numPr>
              <w:ind w:left="598" w:hanging="425"/>
            </w:pPr>
            <w:r>
              <w:t>Projektopgave/r</w:t>
            </w:r>
          </w:p>
          <w:p w14:paraId="7F0D2183" w14:textId="77777777" w:rsidR="003437CF" w:rsidRPr="008F202B" w:rsidRDefault="003437CF" w:rsidP="003437CF">
            <w:pPr>
              <w:pStyle w:val="Listeafsnit"/>
              <w:numPr>
                <w:ilvl w:val="1"/>
                <w:numId w:val="1"/>
              </w:numPr>
              <w:ind w:left="598" w:hanging="425"/>
            </w:pPr>
            <w:r w:rsidRPr="008F202B">
              <w:t xml:space="preserve">Min. 15. </w:t>
            </w:r>
            <w:r>
              <w:t xml:space="preserve">minutters </w:t>
            </w:r>
            <w:r w:rsidRPr="008F202B">
              <w:t>arbejde for en elev</w:t>
            </w:r>
            <w:r>
              <w:t xml:space="preserve"> / studerende / deltager</w:t>
            </w:r>
          </w:p>
          <w:p w14:paraId="4AF30FC5" w14:textId="35CBA53D" w:rsidR="003437CF" w:rsidRPr="003437CF" w:rsidRDefault="003437CF" w:rsidP="003437CF">
            <w:pPr>
              <w:ind w:left="27"/>
            </w:pPr>
          </w:p>
        </w:tc>
        <w:tc>
          <w:tcPr>
            <w:tcW w:w="10348" w:type="dxa"/>
          </w:tcPr>
          <w:p w14:paraId="77B8984C" w14:textId="5BC0D9B3" w:rsidR="00A75E8B" w:rsidRDefault="00A75E8B" w:rsidP="00A75E8B">
            <w:pPr>
              <w:ind w:left="27"/>
            </w:pPr>
            <w:r>
              <w:t xml:space="preserve">Gruppearbejde, </w:t>
            </w:r>
            <w:r w:rsidR="00202C34">
              <w:t>fremlæggelse og drøftelse i plenum</w:t>
            </w:r>
            <w:r>
              <w:t>.</w:t>
            </w:r>
          </w:p>
          <w:p w14:paraId="7FB781BC" w14:textId="77777777" w:rsidR="00A75E8B" w:rsidRDefault="00A75E8B" w:rsidP="00A75E8B">
            <w:pPr>
              <w:ind w:left="27"/>
            </w:pPr>
          </w:p>
          <w:p w14:paraId="3DF8F951" w14:textId="6D2F3DBC" w:rsidR="00A75E8B" w:rsidRDefault="00A75E8B" w:rsidP="00A75E8B">
            <w:pPr>
              <w:ind w:left="27"/>
            </w:pPr>
            <w:r>
              <w:t xml:space="preserve">Hele kurset varer </w:t>
            </w:r>
            <w:r w:rsidR="00202C34">
              <w:t>2</w:t>
            </w:r>
            <w:r>
              <w:t xml:space="preserve"> dag</w:t>
            </w:r>
            <w:r w:rsidR="00202C34">
              <w:t>e</w:t>
            </w:r>
            <w:r>
              <w:t xml:space="preserve"> - det beskrevne</w:t>
            </w:r>
            <w:r w:rsidR="00202C34">
              <w:t xml:space="preserve"> gruppearbejde</w:t>
            </w:r>
            <w:r>
              <w:t>, som kan ses i PP vil tage omkring 1½</w:t>
            </w:r>
            <w:r w:rsidR="00414AF8">
              <w:t xml:space="preserve"> time</w:t>
            </w:r>
          </w:p>
          <w:p w14:paraId="58B72373" w14:textId="77777777" w:rsidR="003437CF" w:rsidRDefault="003437CF" w:rsidP="003437CF">
            <w:pPr>
              <w:ind w:left="27"/>
            </w:pPr>
          </w:p>
          <w:p w14:paraId="4A53E515" w14:textId="77777777" w:rsidR="003B07E6" w:rsidRDefault="003B07E6" w:rsidP="003B07E6">
            <w:pPr>
              <w:ind w:left="27"/>
            </w:pPr>
          </w:p>
          <w:p w14:paraId="1F285728" w14:textId="77777777" w:rsidR="003B07E6" w:rsidRPr="003437CF" w:rsidRDefault="003B07E6" w:rsidP="009F19CA">
            <w:pPr>
              <w:ind w:left="27"/>
            </w:pPr>
          </w:p>
        </w:tc>
      </w:tr>
      <w:tr w:rsidR="003437CF" w:rsidRPr="003437CF" w14:paraId="7C70247D" w14:textId="69A4576B" w:rsidTr="00170D4A">
        <w:tc>
          <w:tcPr>
            <w:tcW w:w="2835" w:type="dxa"/>
          </w:tcPr>
          <w:p w14:paraId="3DE10456" w14:textId="796FAB54" w:rsidR="003437CF" w:rsidRPr="003437CF" w:rsidRDefault="003437CF" w:rsidP="003437CF">
            <w:pPr>
              <w:ind w:left="27"/>
            </w:pPr>
            <w:r w:rsidRPr="003437CF">
              <w:t xml:space="preserve">Arbejdstid for </w:t>
            </w:r>
            <w:r w:rsidR="0099293E">
              <w:t>holdet</w:t>
            </w:r>
          </w:p>
        </w:tc>
        <w:tc>
          <w:tcPr>
            <w:tcW w:w="10348" w:type="dxa"/>
          </w:tcPr>
          <w:p w14:paraId="60BAA56C" w14:textId="7B5969CE" w:rsidR="003437CF" w:rsidRPr="003437CF" w:rsidRDefault="003C08A2" w:rsidP="003437CF">
            <w:pPr>
              <w:ind w:left="27"/>
            </w:pPr>
            <w:r>
              <w:t>Se ovenfor</w:t>
            </w:r>
          </w:p>
        </w:tc>
      </w:tr>
      <w:tr w:rsidR="003437CF" w:rsidRPr="003437CF" w14:paraId="079D19E2" w14:textId="7368FC3E" w:rsidTr="00170D4A">
        <w:tc>
          <w:tcPr>
            <w:tcW w:w="2835" w:type="dxa"/>
          </w:tcPr>
          <w:p w14:paraId="7534DA06" w14:textId="77777777" w:rsidR="003437CF" w:rsidRPr="003437CF" w:rsidRDefault="003437CF" w:rsidP="003437CF">
            <w:pPr>
              <w:ind w:left="27"/>
            </w:pPr>
            <w:r w:rsidRPr="003437CF">
              <w:t>Omhandlede SDG, hvis muligt - dannelsesperspektivet</w:t>
            </w:r>
          </w:p>
        </w:tc>
        <w:tc>
          <w:tcPr>
            <w:tcW w:w="10348" w:type="dxa"/>
          </w:tcPr>
          <w:p w14:paraId="4AF1474D" w14:textId="3A322197" w:rsidR="003437CF" w:rsidRDefault="0032645E" w:rsidP="003437CF">
            <w:pPr>
              <w:ind w:left="27"/>
            </w:pPr>
            <w:r>
              <w:t xml:space="preserve">Verdensmål </w:t>
            </w:r>
            <w:r w:rsidR="00292701">
              <w:t>vil kursister have med i deres besvarelser af gruppeopgaven.</w:t>
            </w:r>
          </w:p>
          <w:p w14:paraId="0A4DA277" w14:textId="77777777" w:rsidR="00292701" w:rsidRDefault="00292701" w:rsidP="003437CF">
            <w:pPr>
              <w:ind w:left="27"/>
            </w:pPr>
          </w:p>
          <w:p w14:paraId="227DFA5E" w14:textId="3CC4D70A" w:rsidR="0085092B" w:rsidRPr="0085092B" w:rsidRDefault="0085092B" w:rsidP="0085092B">
            <w:pPr>
              <w:ind w:left="27"/>
              <w:rPr>
                <w:b/>
                <w:bCs/>
              </w:rPr>
            </w:pPr>
            <w:r w:rsidRPr="0085092B">
              <w:rPr>
                <w:b/>
                <w:bCs/>
              </w:rPr>
              <w:t>Læringsmål</w:t>
            </w:r>
            <w:r w:rsidR="00725102">
              <w:rPr>
                <w:b/>
                <w:bCs/>
              </w:rPr>
              <w:t xml:space="preserve"> i opgaven</w:t>
            </w:r>
            <w:r w:rsidRPr="0085092B">
              <w:rPr>
                <w:b/>
                <w:bCs/>
              </w:rPr>
              <w:t>:</w:t>
            </w:r>
          </w:p>
          <w:p w14:paraId="55FAA66A" w14:textId="77777777" w:rsidR="0085092B" w:rsidRPr="0085092B" w:rsidRDefault="0085092B" w:rsidP="0085092B">
            <w:pPr>
              <w:numPr>
                <w:ilvl w:val="0"/>
                <w:numId w:val="12"/>
              </w:numPr>
            </w:pPr>
            <w:r w:rsidRPr="0085092B">
              <w:rPr>
                <w:b/>
                <w:bCs/>
              </w:rPr>
              <w:lastRenderedPageBreak/>
              <w:t>Viden og forståelse</w:t>
            </w:r>
            <w:r w:rsidRPr="0085092B">
              <w:t>: Kursisterne skal opnå indsigt i, hvordan ESG (Environmental, Social, Governance) faktorer påvirker virksomheders beslutninger og strategier. De skal forstå, hvordan disse faktorer hænger sammen med etik, indtjening og verdensmål.</w:t>
            </w:r>
          </w:p>
          <w:p w14:paraId="0BCF082D" w14:textId="63C2A9F2" w:rsidR="0085092B" w:rsidRPr="0085092B" w:rsidRDefault="0085092B" w:rsidP="0085092B">
            <w:pPr>
              <w:numPr>
                <w:ilvl w:val="0"/>
                <w:numId w:val="12"/>
              </w:numPr>
            </w:pPr>
            <w:r w:rsidRPr="0085092B">
              <w:rPr>
                <w:b/>
                <w:bCs/>
              </w:rPr>
              <w:t>Kritisk refleksion</w:t>
            </w:r>
            <w:r w:rsidRPr="0085092B">
              <w:t xml:space="preserve">: Kursisterne skal kunne reflektere over de valg, </w:t>
            </w:r>
            <w:r w:rsidR="001E4A25">
              <w:t>opgavens</w:t>
            </w:r>
            <w:r w:rsidRPr="0085092B">
              <w:t xml:space="preserve"> fiktive virksomheder</w:t>
            </w:r>
            <w:r w:rsidR="001E4A25">
              <w:t xml:space="preserve"> skal træffe</w:t>
            </w:r>
            <w:r w:rsidRPr="0085092B">
              <w:t xml:space="preserve"> i forbindelse med ESG, og forstå de afvejninger, der er mellem etik, økonomisk vækst og bæredygtighed.</w:t>
            </w:r>
          </w:p>
          <w:p w14:paraId="20796DC2" w14:textId="77777777" w:rsidR="0085092B" w:rsidRPr="0085092B" w:rsidRDefault="0085092B" w:rsidP="0085092B">
            <w:pPr>
              <w:numPr>
                <w:ilvl w:val="0"/>
                <w:numId w:val="12"/>
              </w:numPr>
            </w:pPr>
            <w:r w:rsidRPr="0085092B">
              <w:rPr>
                <w:b/>
                <w:bCs/>
              </w:rPr>
              <w:t>Praktisk anvendelse</w:t>
            </w:r>
            <w:r w:rsidRPr="0085092B">
              <w:t>: Kursisterne skal kunne anvende ESG-principperne i praksis ved at diskutere de fordele og ulemper, der er forbundet med deres beslutninger, og hvordan disse valg afspejles i en ESG-rapport.</w:t>
            </w:r>
          </w:p>
          <w:p w14:paraId="6D7462EC" w14:textId="77777777" w:rsidR="0085092B" w:rsidRDefault="0085092B" w:rsidP="0085092B">
            <w:pPr>
              <w:numPr>
                <w:ilvl w:val="0"/>
                <w:numId w:val="12"/>
              </w:numPr>
            </w:pPr>
            <w:r w:rsidRPr="0085092B">
              <w:rPr>
                <w:b/>
                <w:bCs/>
              </w:rPr>
              <w:t>Diskussion og samarbejde</w:t>
            </w:r>
            <w:r w:rsidRPr="0085092B">
              <w:t>: Gennem gruppeaktiviteter skal kursisterne udvikle deres evne til at samarbejde og diskutere komplekse dilemmaer i relation til virksomhedens strategi, bæredygtighed og etik.</w:t>
            </w:r>
          </w:p>
          <w:p w14:paraId="50A017FD" w14:textId="77777777" w:rsidR="0007611D" w:rsidRPr="0085092B" w:rsidRDefault="0007611D" w:rsidP="0007611D">
            <w:pPr>
              <w:ind w:left="360"/>
            </w:pPr>
          </w:p>
          <w:p w14:paraId="2503E176" w14:textId="77777777" w:rsidR="0085092B" w:rsidRPr="0085092B" w:rsidRDefault="0085092B" w:rsidP="0085092B">
            <w:pPr>
              <w:ind w:left="27"/>
              <w:rPr>
                <w:b/>
                <w:bCs/>
              </w:rPr>
            </w:pPr>
            <w:r w:rsidRPr="0085092B">
              <w:rPr>
                <w:b/>
                <w:bCs/>
              </w:rPr>
              <w:t>Dannelsesperspektivet:</w:t>
            </w:r>
          </w:p>
          <w:p w14:paraId="20ED2ABC" w14:textId="77777777" w:rsidR="0085092B" w:rsidRPr="0085092B" w:rsidRDefault="0085092B" w:rsidP="0085092B">
            <w:pPr>
              <w:numPr>
                <w:ilvl w:val="0"/>
                <w:numId w:val="13"/>
              </w:numPr>
            </w:pPr>
            <w:r w:rsidRPr="0085092B">
              <w:rPr>
                <w:b/>
                <w:bCs/>
              </w:rPr>
              <w:t>Kritisk tænkning</w:t>
            </w:r>
            <w:r w:rsidRPr="0085092B">
              <w:t>: Ved at drøfte dilemmaer relateret til ESG får kursisterne mulighed for at udvikle deres evne til at tænke kritisk om de valg, virksomheder træffer i forhold til etik og bæredygtighed. De bliver opfordret til at overveje konsekvenserne af deres beslutninger for samfundet og planeten.</w:t>
            </w:r>
          </w:p>
          <w:p w14:paraId="458D30FC" w14:textId="77777777" w:rsidR="0085092B" w:rsidRPr="0085092B" w:rsidRDefault="0085092B" w:rsidP="0085092B">
            <w:pPr>
              <w:numPr>
                <w:ilvl w:val="0"/>
                <w:numId w:val="13"/>
              </w:numPr>
            </w:pPr>
            <w:r w:rsidRPr="0085092B">
              <w:rPr>
                <w:b/>
                <w:bCs/>
              </w:rPr>
              <w:t>Etisk ansvar</w:t>
            </w:r>
            <w:r w:rsidRPr="0085092B">
              <w:t>: Kursisterne konfronteres med de etiske overvejelser, der er forbundet med at balancere økonomisk gevinst med bæredygtighed og sociale hensyn. Dette fremmer deres dannelse som ansvarlige medborgere, der forstår deres handlingers konsekvenser på både kort og lang sigt.</w:t>
            </w:r>
          </w:p>
          <w:p w14:paraId="549D0059" w14:textId="34D0F12F" w:rsidR="0085092B" w:rsidRPr="0085092B" w:rsidRDefault="0085092B" w:rsidP="0085092B">
            <w:pPr>
              <w:numPr>
                <w:ilvl w:val="0"/>
                <w:numId w:val="13"/>
              </w:numPr>
            </w:pPr>
            <w:r w:rsidRPr="0085092B">
              <w:rPr>
                <w:b/>
                <w:bCs/>
              </w:rPr>
              <w:t>Globalt perspektiv</w:t>
            </w:r>
            <w:r w:rsidRPr="0085092B">
              <w:t xml:space="preserve">: Ved at inddrage verdensmålene i diskussionen hjælper </w:t>
            </w:r>
            <w:r w:rsidR="00000F54">
              <w:t>underviser</w:t>
            </w:r>
            <w:r w:rsidRPr="0085092B">
              <w:t xml:space="preserve"> kursisterne med at forstå, hvordan lokale beslutninger i virksomheder kan have globale konsekvenser. Dette fremmer dannelse i form af at tage et større ansvar for både miljø og samfund.</w:t>
            </w:r>
          </w:p>
          <w:p w14:paraId="26233724" w14:textId="11F69A56" w:rsidR="0085092B" w:rsidRPr="0085092B" w:rsidRDefault="0085092B" w:rsidP="0085092B">
            <w:pPr>
              <w:numPr>
                <w:ilvl w:val="0"/>
                <w:numId w:val="13"/>
              </w:numPr>
            </w:pPr>
            <w:r w:rsidRPr="0085092B">
              <w:rPr>
                <w:b/>
                <w:bCs/>
              </w:rPr>
              <w:t>Handlingskompetence</w:t>
            </w:r>
            <w:r w:rsidRPr="0085092B">
              <w:t xml:space="preserve">: Kursisterne udvikler handlingskompetence ved at træffe beslutninger og overveje de afvejninger, der skal til for at </w:t>
            </w:r>
            <w:r w:rsidR="002A4A67">
              <w:t xml:space="preserve">kunne lave en </w:t>
            </w:r>
            <w:r w:rsidRPr="0085092B">
              <w:t>god ESG-rapport. De lærer at handle bevidst og ansvarligt i forhold til bæredygtighed og etik</w:t>
            </w:r>
          </w:p>
          <w:p w14:paraId="7FA4203E" w14:textId="77777777" w:rsidR="0085092B" w:rsidRDefault="0085092B" w:rsidP="003437CF">
            <w:pPr>
              <w:ind w:left="27"/>
            </w:pPr>
          </w:p>
          <w:p w14:paraId="1DA1D8D3" w14:textId="7B753D56" w:rsidR="00292701" w:rsidRPr="003437CF" w:rsidRDefault="00292701" w:rsidP="003437CF">
            <w:pPr>
              <w:ind w:left="27"/>
            </w:pPr>
          </w:p>
        </w:tc>
      </w:tr>
      <w:tr w:rsidR="00CF60E4" w14:paraId="03CE3182" w14:textId="6507EBB2" w:rsidTr="00170D4A">
        <w:tc>
          <w:tcPr>
            <w:tcW w:w="2835" w:type="dxa"/>
          </w:tcPr>
          <w:p w14:paraId="30F6B6C3" w14:textId="12316941" w:rsidR="00CF60E4" w:rsidRDefault="00CF60E4" w:rsidP="00CF60E4">
            <w:pPr>
              <w:ind w:left="27"/>
            </w:pPr>
            <w:r w:rsidRPr="003437CF">
              <w:lastRenderedPageBreak/>
              <w:t>Ansvarlig skole</w:t>
            </w:r>
          </w:p>
        </w:tc>
        <w:tc>
          <w:tcPr>
            <w:tcW w:w="10348" w:type="dxa"/>
          </w:tcPr>
          <w:p w14:paraId="7BE9EBB8" w14:textId="0C9F90EC" w:rsidR="00CF60E4" w:rsidRPr="003437CF" w:rsidRDefault="00CF60E4" w:rsidP="00CF60E4">
            <w:pPr>
              <w:ind w:left="27"/>
            </w:pPr>
            <w:r>
              <w:t>IBC Kurser</w:t>
            </w:r>
          </w:p>
        </w:tc>
      </w:tr>
      <w:tr w:rsidR="00CF60E4" w14:paraId="4F272B38" w14:textId="77777777" w:rsidTr="00170D4A">
        <w:tc>
          <w:tcPr>
            <w:tcW w:w="2835" w:type="dxa"/>
          </w:tcPr>
          <w:p w14:paraId="0E9121A9" w14:textId="60876AF3" w:rsidR="00CF60E4" w:rsidRPr="003437CF" w:rsidRDefault="00CF60E4" w:rsidP="00CF60E4">
            <w:pPr>
              <w:ind w:left="27"/>
            </w:pPr>
            <w:r>
              <w:t>Antal kursister</w:t>
            </w:r>
          </w:p>
        </w:tc>
        <w:tc>
          <w:tcPr>
            <w:tcW w:w="10348" w:type="dxa"/>
          </w:tcPr>
          <w:p w14:paraId="461ED57A" w14:textId="77777777" w:rsidR="00CF60E4" w:rsidRDefault="00CF60E4" w:rsidP="00CF60E4">
            <w:pPr>
              <w:ind w:left="27"/>
            </w:pPr>
            <w:r>
              <w:t>Materiale afprøvet på 2 kursushold efterår 2024 med henholdsvis 12 og 24 deltagere. Vil blive brugt igen i foråret 2025.</w:t>
            </w:r>
          </w:p>
          <w:p w14:paraId="70C4F63B" w14:textId="77777777" w:rsidR="00CF60E4" w:rsidRPr="003437CF" w:rsidRDefault="00CF60E4" w:rsidP="00CF60E4">
            <w:pPr>
              <w:ind w:left="27"/>
            </w:pPr>
          </w:p>
        </w:tc>
      </w:tr>
    </w:tbl>
    <w:p w14:paraId="2F56D090" w14:textId="6876A4FB" w:rsidR="002043BF" w:rsidRPr="0099293E" w:rsidRDefault="002043BF" w:rsidP="00691A47">
      <w:pPr>
        <w:rPr>
          <w:lang w:val="de-DE"/>
        </w:rPr>
      </w:pPr>
    </w:p>
    <w:sectPr w:rsidR="002043BF" w:rsidRPr="0099293E" w:rsidSect="00170D4A">
      <w:pgSz w:w="16838" w:h="11906" w:orient="landscape"/>
      <w:pgMar w:top="1134" w:right="1843" w:bottom="1134" w:left="113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1341C" w14:textId="77777777" w:rsidR="0060500B" w:rsidRDefault="0060500B" w:rsidP="00F810FC">
      <w:pPr>
        <w:spacing w:after="0" w:line="240" w:lineRule="auto"/>
      </w:pPr>
      <w:r>
        <w:separator/>
      </w:r>
    </w:p>
  </w:endnote>
  <w:endnote w:type="continuationSeparator" w:id="0">
    <w:p w14:paraId="10123EE9" w14:textId="77777777" w:rsidR="0060500B" w:rsidRDefault="0060500B" w:rsidP="00F81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88B5D" w14:textId="77777777" w:rsidR="0060500B" w:rsidRDefault="0060500B" w:rsidP="00F810FC">
      <w:pPr>
        <w:spacing w:after="0" w:line="240" w:lineRule="auto"/>
      </w:pPr>
      <w:r>
        <w:separator/>
      </w:r>
    </w:p>
  </w:footnote>
  <w:footnote w:type="continuationSeparator" w:id="0">
    <w:p w14:paraId="642D6500" w14:textId="77777777" w:rsidR="0060500B" w:rsidRDefault="0060500B" w:rsidP="00F810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A65F2"/>
    <w:multiLevelType w:val="multilevel"/>
    <w:tmpl w:val="4CCED5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bullet"/>
      <w:lvlText w:val=""/>
      <w:lvlJc w:val="left"/>
      <w:pPr>
        <w:ind w:left="2880" w:hanging="360"/>
      </w:pPr>
      <w:rPr>
        <w:rFonts w:ascii="Wingdings" w:hAnsi="Wingdings" w:hint="default"/>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5887F0A"/>
    <w:multiLevelType w:val="multilevel"/>
    <w:tmpl w:val="0994EB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bullet"/>
      <w:lvlText w:val="o"/>
      <w:lvlJc w:val="left"/>
      <w:pPr>
        <w:ind w:left="1664" w:hanging="360"/>
      </w:pPr>
      <w:rPr>
        <w:rFonts w:ascii="Courier New" w:hAnsi="Courier New" w:cs="Courier New" w:hint="default"/>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99562FB"/>
    <w:multiLevelType w:val="hybridMultilevel"/>
    <w:tmpl w:val="7A626B94"/>
    <w:lvl w:ilvl="0" w:tplc="04060003">
      <w:start w:val="1"/>
      <w:numFmt w:val="bullet"/>
      <w:lvlText w:val="o"/>
      <w:lvlJc w:val="left"/>
      <w:pPr>
        <w:ind w:left="1664" w:hanging="360"/>
      </w:pPr>
      <w:rPr>
        <w:rFonts w:ascii="Courier New" w:hAnsi="Courier New" w:cs="Courier New"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3" w15:restartNumberingAfterBreak="0">
    <w:nsid w:val="30A15FA8"/>
    <w:multiLevelType w:val="multilevel"/>
    <w:tmpl w:val="EA80B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1653F7"/>
    <w:multiLevelType w:val="multilevel"/>
    <w:tmpl w:val="F8E894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83467F9"/>
    <w:multiLevelType w:val="multilevel"/>
    <w:tmpl w:val="4F3E6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bullet"/>
      <w:lvlText w:val="o"/>
      <w:lvlJc w:val="left"/>
      <w:pPr>
        <w:ind w:left="1664" w:hanging="360"/>
      </w:pPr>
      <w:rPr>
        <w:rFonts w:ascii="Courier New" w:hAnsi="Courier New" w:cs="Courier New" w:hint="default"/>
      </w:rPr>
    </w:lvl>
    <w:lvl w:ilvl="3">
      <w:start w:val="1"/>
      <w:numFmt w:val="bullet"/>
      <w:lvlText w:val=""/>
      <w:lvlJc w:val="left"/>
      <w:pPr>
        <w:ind w:left="2880" w:hanging="360"/>
      </w:pPr>
      <w:rPr>
        <w:rFonts w:ascii="Wingdings" w:hAnsi="Wingdings" w:hint="default"/>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513384F"/>
    <w:multiLevelType w:val="multilevel"/>
    <w:tmpl w:val="4CCED5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bullet"/>
      <w:lvlText w:val=""/>
      <w:lvlJc w:val="left"/>
      <w:pPr>
        <w:ind w:left="2880" w:hanging="360"/>
      </w:pPr>
      <w:rPr>
        <w:rFonts w:ascii="Wingdings" w:hAnsi="Wingdings" w:hint="default"/>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E206267"/>
    <w:multiLevelType w:val="hybridMultilevel"/>
    <w:tmpl w:val="8F2AC0B4"/>
    <w:lvl w:ilvl="0" w:tplc="04060003">
      <w:start w:val="1"/>
      <w:numFmt w:val="bullet"/>
      <w:lvlText w:val="o"/>
      <w:lvlJc w:val="left"/>
      <w:pPr>
        <w:ind w:left="1854" w:hanging="360"/>
      </w:pPr>
      <w:rPr>
        <w:rFonts w:ascii="Courier New" w:hAnsi="Courier New" w:cs="Courier New" w:hint="default"/>
      </w:rPr>
    </w:lvl>
    <w:lvl w:ilvl="1" w:tplc="04060003" w:tentative="1">
      <w:start w:val="1"/>
      <w:numFmt w:val="bullet"/>
      <w:lvlText w:val="o"/>
      <w:lvlJc w:val="left"/>
      <w:pPr>
        <w:ind w:left="2574" w:hanging="360"/>
      </w:pPr>
      <w:rPr>
        <w:rFonts w:ascii="Courier New" w:hAnsi="Courier New" w:cs="Courier New" w:hint="default"/>
      </w:rPr>
    </w:lvl>
    <w:lvl w:ilvl="2" w:tplc="04060005" w:tentative="1">
      <w:start w:val="1"/>
      <w:numFmt w:val="bullet"/>
      <w:lvlText w:val=""/>
      <w:lvlJc w:val="left"/>
      <w:pPr>
        <w:ind w:left="3294" w:hanging="360"/>
      </w:pPr>
      <w:rPr>
        <w:rFonts w:ascii="Wingdings" w:hAnsi="Wingdings" w:hint="default"/>
      </w:rPr>
    </w:lvl>
    <w:lvl w:ilvl="3" w:tplc="04060001" w:tentative="1">
      <w:start w:val="1"/>
      <w:numFmt w:val="bullet"/>
      <w:lvlText w:val=""/>
      <w:lvlJc w:val="left"/>
      <w:pPr>
        <w:ind w:left="4014" w:hanging="360"/>
      </w:pPr>
      <w:rPr>
        <w:rFonts w:ascii="Symbol" w:hAnsi="Symbol" w:hint="default"/>
      </w:rPr>
    </w:lvl>
    <w:lvl w:ilvl="4" w:tplc="04060003" w:tentative="1">
      <w:start w:val="1"/>
      <w:numFmt w:val="bullet"/>
      <w:lvlText w:val="o"/>
      <w:lvlJc w:val="left"/>
      <w:pPr>
        <w:ind w:left="4734" w:hanging="360"/>
      </w:pPr>
      <w:rPr>
        <w:rFonts w:ascii="Courier New" w:hAnsi="Courier New" w:cs="Courier New" w:hint="default"/>
      </w:rPr>
    </w:lvl>
    <w:lvl w:ilvl="5" w:tplc="04060005" w:tentative="1">
      <w:start w:val="1"/>
      <w:numFmt w:val="bullet"/>
      <w:lvlText w:val=""/>
      <w:lvlJc w:val="left"/>
      <w:pPr>
        <w:ind w:left="5454" w:hanging="360"/>
      </w:pPr>
      <w:rPr>
        <w:rFonts w:ascii="Wingdings" w:hAnsi="Wingdings" w:hint="default"/>
      </w:rPr>
    </w:lvl>
    <w:lvl w:ilvl="6" w:tplc="04060001" w:tentative="1">
      <w:start w:val="1"/>
      <w:numFmt w:val="bullet"/>
      <w:lvlText w:val=""/>
      <w:lvlJc w:val="left"/>
      <w:pPr>
        <w:ind w:left="6174" w:hanging="360"/>
      </w:pPr>
      <w:rPr>
        <w:rFonts w:ascii="Symbol" w:hAnsi="Symbol" w:hint="default"/>
      </w:rPr>
    </w:lvl>
    <w:lvl w:ilvl="7" w:tplc="04060003" w:tentative="1">
      <w:start w:val="1"/>
      <w:numFmt w:val="bullet"/>
      <w:lvlText w:val="o"/>
      <w:lvlJc w:val="left"/>
      <w:pPr>
        <w:ind w:left="6894" w:hanging="360"/>
      </w:pPr>
      <w:rPr>
        <w:rFonts w:ascii="Courier New" w:hAnsi="Courier New" w:cs="Courier New" w:hint="default"/>
      </w:rPr>
    </w:lvl>
    <w:lvl w:ilvl="8" w:tplc="04060005" w:tentative="1">
      <w:start w:val="1"/>
      <w:numFmt w:val="bullet"/>
      <w:lvlText w:val=""/>
      <w:lvlJc w:val="left"/>
      <w:pPr>
        <w:ind w:left="7614" w:hanging="360"/>
      </w:pPr>
      <w:rPr>
        <w:rFonts w:ascii="Wingdings" w:hAnsi="Wingdings" w:hint="default"/>
      </w:rPr>
    </w:lvl>
  </w:abstractNum>
  <w:abstractNum w:abstractNumId="8" w15:restartNumberingAfterBreak="0">
    <w:nsid w:val="711D2856"/>
    <w:multiLevelType w:val="multilevel"/>
    <w:tmpl w:val="5AF25B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9545A52"/>
    <w:multiLevelType w:val="hybridMultilevel"/>
    <w:tmpl w:val="ABB6135C"/>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0" w15:restartNumberingAfterBreak="0">
    <w:nsid w:val="7AEF641A"/>
    <w:multiLevelType w:val="multilevel"/>
    <w:tmpl w:val="D6B2F9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bullet"/>
      <w:lvlText w:val="o"/>
      <w:lvlJc w:val="left"/>
      <w:pPr>
        <w:ind w:left="1664" w:hanging="360"/>
      </w:pPr>
      <w:rPr>
        <w:rFonts w:ascii="Courier New" w:hAnsi="Courier New" w:cs="Courier New" w:hint="default"/>
      </w:rPr>
    </w:lvl>
    <w:lvl w:ilvl="3">
      <w:start w:val="1"/>
      <w:numFmt w:val="bullet"/>
      <w:lvlText w:val=""/>
      <w:lvlJc w:val="left"/>
      <w:pPr>
        <w:ind w:left="2880" w:hanging="360"/>
      </w:pPr>
      <w:rPr>
        <w:rFonts w:ascii="Wingdings" w:hAnsi="Wingdings" w:hint="default"/>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F6C3622"/>
    <w:multiLevelType w:val="multilevel"/>
    <w:tmpl w:val="C7D84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951767">
    <w:abstractNumId w:val="9"/>
  </w:num>
  <w:num w:numId="2" w16cid:durableId="769358083">
    <w:abstractNumId w:val="2"/>
  </w:num>
  <w:num w:numId="3" w16cid:durableId="1993440685">
    <w:abstractNumId w:val="0"/>
  </w:num>
  <w:num w:numId="4" w16cid:durableId="9261084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234545">
    <w:abstractNumId w:val="1"/>
  </w:num>
  <w:num w:numId="6" w16cid:durableId="1667704034">
    <w:abstractNumId w:val="6"/>
  </w:num>
  <w:num w:numId="7" w16cid:durableId="124592173">
    <w:abstractNumId w:val="5"/>
  </w:num>
  <w:num w:numId="8" w16cid:durableId="388460720">
    <w:abstractNumId w:val="10"/>
  </w:num>
  <w:num w:numId="9" w16cid:durableId="1470130290">
    <w:abstractNumId w:val="8"/>
  </w:num>
  <w:num w:numId="10" w16cid:durableId="238248754">
    <w:abstractNumId w:val="4"/>
  </w:num>
  <w:num w:numId="11" w16cid:durableId="2075542173">
    <w:abstractNumId w:val="7"/>
  </w:num>
  <w:num w:numId="12" w16cid:durableId="1623153911">
    <w:abstractNumId w:val="11"/>
  </w:num>
  <w:num w:numId="13" w16cid:durableId="13133673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AC7"/>
    <w:rsid w:val="00000F54"/>
    <w:rsid w:val="000440C8"/>
    <w:rsid w:val="0007611D"/>
    <w:rsid w:val="000902CE"/>
    <w:rsid w:val="0009392C"/>
    <w:rsid w:val="000C1FF6"/>
    <w:rsid w:val="000D3A89"/>
    <w:rsid w:val="000D706D"/>
    <w:rsid w:val="000F5564"/>
    <w:rsid w:val="00126FD2"/>
    <w:rsid w:val="00145A9D"/>
    <w:rsid w:val="0015504E"/>
    <w:rsid w:val="00166B21"/>
    <w:rsid w:val="00167686"/>
    <w:rsid w:val="001678E2"/>
    <w:rsid w:val="00170D4A"/>
    <w:rsid w:val="00190B56"/>
    <w:rsid w:val="00194921"/>
    <w:rsid w:val="001B3317"/>
    <w:rsid w:val="001B4579"/>
    <w:rsid w:val="001B4727"/>
    <w:rsid w:val="001B49EA"/>
    <w:rsid w:val="001C3EF0"/>
    <w:rsid w:val="001C41C9"/>
    <w:rsid w:val="001D7CBD"/>
    <w:rsid w:val="001E4A25"/>
    <w:rsid w:val="001E79D5"/>
    <w:rsid w:val="00202C34"/>
    <w:rsid w:val="002043BF"/>
    <w:rsid w:val="002123CD"/>
    <w:rsid w:val="00216C24"/>
    <w:rsid w:val="00236EEB"/>
    <w:rsid w:val="002411F3"/>
    <w:rsid w:val="00292701"/>
    <w:rsid w:val="00297E18"/>
    <w:rsid w:val="002A4A67"/>
    <w:rsid w:val="002A4BD5"/>
    <w:rsid w:val="002B2595"/>
    <w:rsid w:val="002D2A46"/>
    <w:rsid w:val="002E1B4F"/>
    <w:rsid w:val="002E2B9A"/>
    <w:rsid w:val="002F37E5"/>
    <w:rsid w:val="00312DD2"/>
    <w:rsid w:val="00316C59"/>
    <w:rsid w:val="003229A2"/>
    <w:rsid w:val="0032645E"/>
    <w:rsid w:val="00335AAE"/>
    <w:rsid w:val="003437CF"/>
    <w:rsid w:val="003525F5"/>
    <w:rsid w:val="00355C7C"/>
    <w:rsid w:val="00364549"/>
    <w:rsid w:val="0038162D"/>
    <w:rsid w:val="00382FE6"/>
    <w:rsid w:val="00385B1B"/>
    <w:rsid w:val="00385F2E"/>
    <w:rsid w:val="00390564"/>
    <w:rsid w:val="00390624"/>
    <w:rsid w:val="003B07BF"/>
    <w:rsid w:val="003B07E6"/>
    <w:rsid w:val="003C08A2"/>
    <w:rsid w:val="003C2925"/>
    <w:rsid w:val="003D241D"/>
    <w:rsid w:val="003D437F"/>
    <w:rsid w:val="003E0A0B"/>
    <w:rsid w:val="003F40D8"/>
    <w:rsid w:val="003F535A"/>
    <w:rsid w:val="00414AF8"/>
    <w:rsid w:val="00423B2F"/>
    <w:rsid w:val="004254A9"/>
    <w:rsid w:val="004458E2"/>
    <w:rsid w:val="00483467"/>
    <w:rsid w:val="004947FB"/>
    <w:rsid w:val="004A78EF"/>
    <w:rsid w:val="004B4A63"/>
    <w:rsid w:val="004D5F72"/>
    <w:rsid w:val="004E5E04"/>
    <w:rsid w:val="0053674B"/>
    <w:rsid w:val="0053686C"/>
    <w:rsid w:val="00536A47"/>
    <w:rsid w:val="00537751"/>
    <w:rsid w:val="00570E7E"/>
    <w:rsid w:val="0057272D"/>
    <w:rsid w:val="00587136"/>
    <w:rsid w:val="005B7FE6"/>
    <w:rsid w:val="005C2B9E"/>
    <w:rsid w:val="005D501A"/>
    <w:rsid w:val="00603B6D"/>
    <w:rsid w:val="0060500B"/>
    <w:rsid w:val="00612AF7"/>
    <w:rsid w:val="00613C82"/>
    <w:rsid w:val="0063009E"/>
    <w:rsid w:val="00642B1A"/>
    <w:rsid w:val="006546F0"/>
    <w:rsid w:val="006575E2"/>
    <w:rsid w:val="00661FE0"/>
    <w:rsid w:val="00671EC7"/>
    <w:rsid w:val="00671FBE"/>
    <w:rsid w:val="00683D3E"/>
    <w:rsid w:val="00691A47"/>
    <w:rsid w:val="00695CD1"/>
    <w:rsid w:val="006A5FE0"/>
    <w:rsid w:val="006E3368"/>
    <w:rsid w:val="006E6085"/>
    <w:rsid w:val="006E75BC"/>
    <w:rsid w:val="00722B97"/>
    <w:rsid w:val="00725102"/>
    <w:rsid w:val="00734D44"/>
    <w:rsid w:val="00750FFB"/>
    <w:rsid w:val="007668F3"/>
    <w:rsid w:val="007A341B"/>
    <w:rsid w:val="007A63C0"/>
    <w:rsid w:val="007D4E3B"/>
    <w:rsid w:val="007F5229"/>
    <w:rsid w:val="008016A9"/>
    <w:rsid w:val="00802398"/>
    <w:rsid w:val="008062F4"/>
    <w:rsid w:val="00836370"/>
    <w:rsid w:val="00847BDF"/>
    <w:rsid w:val="0085092B"/>
    <w:rsid w:val="00855102"/>
    <w:rsid w:val="0085621A"/>
    <w:rsid w:val="00866A1E"/>
    <w:rsid w:val="00877D18"/>
    <w:rsid w:val="008915C3"/>
    <w:rsid w:val="008927EF"/>
    <w:rsid w:val="008A4E4A"/>
    <w:rsid w:val="008A503C"/>
    <w:rsid w:val="008C495B"/>
    <w:rsid w:val="008D65FC"/>
    <w:rsid w:val="008E4185"/>
    <w:rsid w:val="008E47E6"/>
    <w:rsid w:val="008F202B"/>
    <w:rsid w:val="008F7B74"/>
    <w:rsid w:val="0090560A"/>
    <w:rsid w:val="0091307C"/>
    <w:rsid w:val="00916A9F"/>
    <w:rsid w:val="00966208"/>
    <w:rsid w:val="009901D4"/>
    <w:rsid w:val="009919D3"/>
    <w:rsid w:val="0099293E"/>
    <w:rsid w:val="0099767C"/>
    <w:rsid w:val="009C0E9B"/>
    <w:rsid w:val="009E2837"/>
    <w:rsid w:val="009F19CA"/>
    <w:rsid w:val="00A163A6"/>
    <w:rsid w:val="00A7087A"/>
    <w:rsid w:val="00A72319"/>
    <w:rsid w:val="00A75E8B"/>
    <w:rsid w:val="00AA3666"/>
    <w:rsid w:val="00AB471D"/>
    <w:rsid w:val="00AB477D"/>
    <w:rsid w:val="00AB5D50"/>
    <w:rsid w:val="00AE0D87"/>
    <w:rsid w:val="00AF1757"/>
    <w:rsid w:val="00AF453E"/>
    <w:rsid w:val="00B0579E"/>
    <w:rsid w:val="00B06D35"/>
    <w:rsid w:val="00B74321"/>
    <w:rsid w:val="00B94311"/>
    <w:rsid w:val="00B9767F"/>
    <w:rsid w:val="00BB0519"/>
    <w:rsid w:val="00BB4778"/>
    <w:rsid w:val="00BC25CA"/>
    <w:rsid w:val="00BC283D"/>
    <w:rsid w:val="00BE01D2"/>
    <w:rsid w:val="00BE2BC4"/>
    <w:rsid w:val="00BE7654"/>
    <w:rsid w:val="00C01CCC"/>
    <w:rsid w:val="00C213EF"/>
    <w:rsid w:val="00C22CC1"/>
    <w:rsid w:val="00C24AFF"/>
    <w:rsid w:val="00C304B7"/>
    <w:rsid w:val="00C560C6"/>
    <w:rsid w:val="00C63A17"/>
    <w:rsid w:val="00C66ECB"/>
    <w:rsid w:val="00C71A69"/>
    <w:rsid w:val="00C86AEE"/>
    <w:rsid w:val="00C97ECB"/>
    <w:rsid w:val="00CA0560"/>
    <w:rsid w:val="00CA5F81"/>
    <w:rsid w:val="00CC448F"/>
    <w:rsid w:val="00CC49D1"/>
    <w:rsid w:val="00CF442A"/>
    <w:rsid w:val="00CF60E4"/>
    <w:rsid w:val="00D05FB9"/>
    <w:rsid w:val="00D20C4E"/>
    <w:rsid w:val="00D23468"/>
    <w:rsid w:val="00D33165"/>
    <w:rsid w:val="00D40AC7"/>
    <w:rsid w:val="00D440E3"/>
    <w:rsid w:val="00D61267"/>
    <w:rsid w:val="00D836DA"/>
    <w:rsid w:val="00D84E6C"/>
    <w:rsid w:val="00D866F8"/>
    <w:rsid w:val="00DB05BD"/>
    <w:rsid w:val="00DB5382"/>
    <w:rsid w:val="00DC043D"/>
    <w:rsid w:val="00E0391E"/>
    <w:rsid w:val="00E82213"/>
    <w:rsid w:val="00EA5C4F"/>
    <w:rsid w:val="00EB4FDB"/>
    <w:rsid w:val="00EC16CB"/>
    <w:rsid w:val="00EC3F8A"/>
    <w:rsid w:val="00ED74ED"/>
    <w:rsid w:val="00EE453F"/>
    <w:rsid w:val="00F15418"/>
    <w:rsid w:val="00F35FFD"/>
    <w:rsid w:val="00F616FE"/>
    <w:rsid w:val="00F810FC"/>
    <w:rsid w:val="00F82FE4"/>
    <w:rsid w:val="00FA2E92"/>
    <w:rsid w:val="00FC7F21"/>
    <w:rsid w:val="00FD6AFE"/>
    <w:rsid w:val="00FE562A"/>
    <w:rsid w:val="00FE6F8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5285E"/>
  <w15:chartTrackingRefBased/>
  <w15:docId w15:val="{158102DB-60AC-44CC-BF7A-3EF739CEC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AC7"/>
    <w:rPr>
      <w:kern w:val="0"/>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40AC7"/>
    <w:pPr>
      <w:ind w:left="720"/>
      <w:contextualSpacing/>
    </w:pPr>
  </w:style>
  <w:style w:type="paragraph" w:styleId="Sidehoved">
    <w:name w:val="header"/>
    <w:basedOn w:val="Normal"/>
    <w:link w:val="SidehovedTegn"/>
    <w:uiPriority w:val="99"/>
    <w:unhideWhenUsed/>
    <w:rsid w:val="00F810F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810FC"/>
    <w:rPr>
      <w:kern w:val="0"/>
      <w14:ligatures w14:val="none"/>
    </w:rPr>
  </w:style>
  <w:style w:type="paragraph" w:styleId="Sidefod">
    <w:name w:val="footer"/>
    <w:basedOn w:val="Normal"/>
    <w:link w:val="SidefodTegn"/>
    <w:uiPriority w:val="99"/>
    <w:unhideWhenUsed/>
    <w:rsid w:val="00F810F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810FC"/>
    <w:rPr>
      <w:kern w:val="0"/>
      <w14:ligatures w14:val="none"/>
    </w:rPr>
  </w:style>
  <w:style w:type="character" w:styleId="Hyperlink">
    <w:name w:val="Hyperlink"/>
    <w:basedOn w:val="Standardskrifttypeiafsnit"/>
    <w:uiPriority w:val="99"/>
    <w:unhideWhenUsed/>
    <w:rsid w:val="00BE7654"/>
    <w:rPr>
      <w:color w:val="0563C1" w:themeColor="hyperlink"/>
      <w:u w:val="single"/>
    </w:rPr>
  </w:style>
  <w:style w:type="character" w:styleId="Ulstomtale">
    <w:name w:val="Unresolved Mention"/>
    <w:basedOn w:val="Standardskrifttypeiafsnit"/>
    <w:uiPriority w:val="99"/>
    <w:semiHidden/>
    <w:unhideWhenUsed/>
    <w:rsid w:val="00BE7654"/>
    <w:rPr>
      <w:color w:val="605E5C"/>
      <w:shd w:val="clear" w:color="auto" w:fill="E1DFDD"/>
    </w:rPr>
  </w:style>
  <w:style w:type="table" w:styleId="Tabel-Gitter">
    <w:name w:val="Table Grid"/>
    <w:basedOn w:val="Tabel-Normal"/>
    <w:uiPriority w:val="39"/>
    <w:rsid w:val="00343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40290">
      <w:bodyDiv w:val="1"/>
      <w:marLeft w:val="0"/>
      <w:marRight w:val="0"/>
      <w:marTop w:val="0"/>
      <w:marBottom w:val="0"/>
      <w:divBdr>
        <w:top w:val="none" w:sz="0" w:space="0" w:color="auto"/>
        <w:left w:val="none" w:sz="0" w:space="0" w:color="auto"/>
        <w:bottom w:val="none" w:sz="0" w:space="0" w:color="auto"/>
        <w:right w:val="none" w:sz="0" w:space="0" w:color="auto"/>
      </w:divBdr>
    </w:div>
    <w:div w:id="262424539">
      <w:bodyDiv w:val="1"/>
      <w:marLeft w:val="0"/>
      <w:marRight w:val="0"/>
      <w:marTop w:val="0"/>
      <w:marBottom w:val="0"/>
      <w:divBdr>
        <w:top w:val="none" w:sz="0" w:space="0" w:color="auto"/>
        <w:left w:val="none" w:sz="0" w:space="0" w:color="auto"/>
        <w:bottom w:val="none" w:sz="0" w:space="0" w:color="auto"/>
        <w:right w:val="none" w:sz="0" w:space="0" w:color="auto"/>
      </w:divBdr>
    </w:div>
    <w:div w:id="1799906924">
      <w:bodyDiv w:val="1"/>
      <w:marLeft w:val="0"/>
      <w:marRight w:val="0"/>
      <w:marTop w:val="0"/>
      <w:marBottom w:val="0"/>
      <w:divBdr>
        <w:top w:val="none" w:sz="0" w:space="0" w:color="auto"/>
        <w:left w:val="none" w:sz="0" w:space="0" w:color="auto"/>
        <w:bottom w:val="none" w:sz="0" w:space="0" w:color="auto"/>
        <w:right w:val="none" w:sz="0" w:space="0" w:color="auto"/>
      </w:divBdr>
      <w:divsChild>
        <w:div w:id="477263930">
          <w:marLeft w:val="0"/>
          <w:marRight w:val="0"/>
          <w:marTop w:val="0"/>
          <w:marBottom w:val="0"/>
          <w:divBdr>
            <w:top w:val="none" w:sz="0" w:space="0" w:color="auto"/>
            <w:left w:val="none" w:sz="0" w:space="0" w:color="auto"/>
            <w:bottom w:val="none" w:sz="0" w:space="0" w:color="auto"/>
            <w:right w:val="none" w:sz="0" w:space="0" w:color="auto"/>
          </w:divBdr>
          <w:divsChild>
            <w:div w:id="437287798">
              <w:marLeft w:val="0"/>
              <w:marRight w:val="0"/>
              <w:marTop w:val="0"/>
              <w:marBottom w:val="0"/>
              <w:divBdr>
                <w:top w:val="none" w:sz="0" w:space="0" w:color="auto"/>
                <w:left w:val="none" w:sz="0" w:space="0" w:color="auto"/>
                <w:bottom w:val="none" w:sz="0" w:space="0" w:color="auto"/>
                <w:right w:val="none" w:sz="0" w:space="0" w:color="auto"/>
              </w:divBdr>
              <w:divsChild>
                <w:div w:id="758065569">
                  <w:marLeft w:val="0"/>
                  <w:marRight w:val="0"/>
                  <w:marTop w:val="0"/>
                  <w:marBottom w:val="0"/>
                  <w:divBdr>
                    <w:top w:val="none" w:sz="0" w:space="0" w:color="auto"/>
                    <w:left w:val="none" w:sz="0" w:space="0" w:color="auto"/>
                    <w:bottom w:val="none" w:sz="0" w:space="0" w:color="auto"/>
                    <w:right w:val="none" w:sz="0" w:space="0" w:color="auto"/>
                  </w:divBdr>
                  <w:divsChild>
                    <w:div w:id="272636160">
                      <w:marLeft w:val="0"/>
                      <w:marRight w:val="0"/>
                      <w:marTop w:val="0"/>
                      <w:marBottom w:val="0"/>
                      <w:divBdr>
                        <w:top w:val="none" w:sz="0" w:space="0" w:color="auto"/>
                        <w:left w:val="none" w:sz="0" w:space="0" w:color="auto"/>
                        <w:bottom w:val="none" w:sz="0" w:space="0" w:color="auto"/>
                        <w:right w:val="none" w:sz="0" w:space="0" w:color="auto"/>
                      </w:divBdr>
                      <w:divsChild>
                        <w:div w:id="408814796">
                          <w:marLeft w:val="0"/>
                          <w:marRight w:val="0"/>
                          <w:marTop w:val="0"/>
                          <w:marBottom w:val="0"/>
                          <w:divBdr>
                            <w:top w:val="none" w:sz="0" w:space="0" w:color="auto"/>
                            <w:left w:val="none" w:sz="0" w:space="0" w:color="auto"/>
                            <w:bottom w:val="none" w:sz="0" w:space="0" w:color="auto"/>
                            <w:right w:val="none" w:sz="0" w:space="0" w:color="auto"/>
                          </w:divBdr>
                          <w:divsChild>
                            <w:div w:id="1082483646">
                              <w:marLeft w:val="0"/>
                              <w:marRight w:val="0"/>
                              <w:marTop w:val="0"/>
                              <w:marBottom w:val="0"/>
                              <w:divBdr>
                                <w:top w:val="none" w:sz="0" w:space="0" w:color="auto"/>
                                <w:left w:val="none" w:sz="0" w:space="0" w:color="auto"/>
                                <w:bottom w:val="none" w:sz="0" w:space="0" w:color="auto"/>
                                <w:right w:val="none" w:sz="0" w:space="0" w:color="auto"/>
                              </w:divBdr>
                              <w:divsChild>
                                <w:div w:id="2047679705">
                                  <w:marLeft w:val="0"/>
                                  <w:marRight w:val="0"/>
                                  <w:marTop w:val="0"/>
                                  <w:marBottom w:val="0"/>
                                  <w:divBdr>
                                    <w:top w:val="none" w:sz="0" w:space="0" w:color="auto"/>
                                    <w:left w:val="none" w:sz="0" w:space="0" w:color="auto"/>
                                    <w:bottom w:val="none" w:sz="0" w:space="0" w:color="auto"/>
                                    <w:right w:val="none" w:sz="0" w:space="0" w:color="auto"/>
                                  </w:divBdr>
                                  <w:divsChild>
                                    <w:div w:id="1717047093">
                                      <w:marLeft w:val="0"/>
                                      <w:marRight w:val="0"/>
                                      <w:marTop w:val="0"/>
                                      <w:marBottom w:val="0"/>
                                      <w:divBdr>
                                        <w:top w:val="none" w:sz="0" w:space="0" w:color="auto"/>
                                        <w:left w:val="none" w:sz="0" w:space="0" w:color="auto"/>
                                        <w:bottom w:val="none" w:sz="0" w:space="0" w:color="auto"/>
                                        <w:right w:val="none" w:sz="0" w:space="0" w:color="auto"/>
                                      </w:divBdr>
                                      <w:divsChild>
                                        <w:div w:id="265843155">
                                          <w:marLeft w:val="0"/>
                                          <w:marRight w:val="0"/>
                                          <w:marTop w:val="0"/>
                                          <w:marBottom w:val="0"/>
                                          <w:divBdr>
                                            <w:top w:val="none" w:sz="0" w:space="0" w:color="auto"/>
                                            <w:left w:val="none" w:sz="0" w:space="0" w:color="auto"/>
                                            <w:bottom w:val="none" w:sz="0" w:space="0" w:color="auto"/>
                                            <w:right w:val="none" w:sz="0" w:space="0" w:color="auto"/>
                                          </w:divBdr>
                                          <w:divsChild>
                                            <w:div w:id="1747074987">
                                              <w:marLeft w:val="0"/>
                                              <w:marRight w:val="0"/>
                                              <w:marTop w:val="0"/>
                                              <w:marBottom w:val="0"/>
                                              <w:divBdr>
                                                <w:top w:val="none" w:sz="0" w:space="0" w:color="auto"/>
                                                <w:left w:val="none" w:sz="0" w:space="0" w:color="auto"/>
                                                <w:bottom w:val="none" w:sz="0" w:space="0" w:color="auto"/>
                                                <w:right w:val="none" w:sz="0" w:space="0" w:color="auto"/>
                                              </w:divBdr>
                                              <w:divsChild>
                                                <w:div w:id="53549938">
                                                  <w:marLeft w:val="0"/>
                                                  <w:marRight w:val="0"/>
                                                  <w:marTop w:val="0"/>
                                                  <w:marBottom w:val="0"/>
                                                  <w:divBdr>
                                                    <w:top w:val="none" w:sz="0" w:space="0" w:color="auto"/>
                                                    <w:left w:val="none" w:sz="0" w:space="0" w:color="auto"/>
                                                    <w:bottom w:val="none" w:sz="0" w:space="0" w:color="auto"/>
                                                    <w:right w:val="none" w:sz="0" w:space="0" w:color="auto"/>
                                                  </w:divBdr>
                                                  <w:divsChild>
                                                    <w:div w:id="1499617520">
                                                      <w:marLeft w:val="0"/>
                                                      <w:marRight w:val="0"/>
                                                      <w:marTop w:val="0"/>
                                                      <w:marBottom w:val="0"/>
                                                      <w:divBdr>
                                                        <w:top w:val="none" w:sz="0" w:space="0" w:color="auto"/>
                                                        <w:left w:val="none" w:sz="0" w:space="0" w:color="auto"/>
                                                        <w:bottom w:val="none" w:sz="0" w:space="0" w:color="auto"/>
                                                        <w:right w:val="none" w:sz="0" w:space="0" w:color="auto"/>
                                                      </w:divBdr>
                                                      <w:divsChild>
                                                        <w:div w:id="198974338">
                                                          <w:marLeft w:val="0"/>
                                                          <w:marRight w:val="0"/>
                                                          <w:marTop w:val="0"/>
                                                          <w:marBottom w:val="0"/>
                                                          <w:divBdr>
                                                            <w:top w:val="none" w:sz="0" w:space="0" w:color="auto"/>
                                                            <w:left w:val="none" w:sz="0" w:space="0" w:color="auto"/>
                                                            <w:bottom w:val="none" w:sz="0" w:space="0" w:color="auto"/>
                                                            <w:right w:val="none" w:sz="0" w:space="0" w:color="auto"/>
                                                          </w:divBdr>
                                                          <w:divsChild>
                                                            <w:div w:id="185915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693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618EA43472D24449C06B0068A65CFA5" ma:contentTypeVersion="14" ma:contentTypeDescription="Opret et nyt dokument." ma:contentTypeScope="" ma:versionID="3f5a1246c2ef77df25e66849155b51ec">
  <xsd:schema xmlns:xsd="http://www.w3.org/2001/XMLSchema" xmlns:xs="http://www.w3.org/2001/XMLSchema" xmlns:p="http://schemas.microsoft.com/office/2006/metadata/properties" xmlns:ns2="66bd60ff-9289-488e-8b38-68681f307e9f" xmlns:ns3="f98be5f7-c26b-40b1-8165-6f48d908995f" targetNamespace="http://schemas.microsoft.com/office/2006/metadata/properties" ma:root="true" ma:fieldsID="cc8fdd61396614f09d96b38174a9845c" ns2:_="" ns3:_="">
    <xsd:import namespace="66bd60ff-9289-488e-8b38-68681f307e9f"/>
    <xsd:import namespace="f98be5f7-c26b-40b1-8165-6f48d90899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d60ff-9289-488e-8b38-68681f307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ledmærker" ma:readOnly="false" ma:fieldId="{5cf76f15-5ced-4ddc-b409-7134ff3c332f}" ma:taxonomyMulti="true" ma:sspId="7838cd0e-1872-446e-82f7-b036991bb4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8be5f7-c26b-40b1-8165-6f48d908995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5a6c850-fdf5-4fc6-8700-74a9778d8058}" ma:internalName="TaxCatchAll" ma:showField="CatchAllData" ma:web="f98be5f7-c26b-40b1-8165-6f48d908995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98be5f7-c26b-40b1-8165-6f48d908995f" xsi:nil="true"/>
    <lcf76f155ced4ddcb4097134ff3c332f xmlns="66bd60ff-9289-488e-8b38-68681f307e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EC6DB1-40CE-4FC8-A32A-5ECB128DD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d60ff-9289-488e-8b38-68681f307e9f"/>
    <ds:schemaRef ds:uri="f98be5f7-c26b-40b1-8165-6f48d9089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9131E7-4A36-4569-B959-731C6D026FE1}">
  <ds:schemaRefs>
    <ds:schemaRef ds:uri="http://schemas.openxmlformats.org/officeDocument/2006/bibliography"/>
  </ds:schemaRefs>
</ds:datastoreItem>
</file>

<file path=customXml/itemProps3.xml><?xml version="1.0" encoding="utf-8"?>
<ds:datastoreItem xmlns:ds="http://schemas.openxmlformats.org/officeDocument/2006/customXml" ds:itemID="{7AE61648-9D39-47D8-8B61-505C6F38462E}">
  <ds:schemaRefs>
    <ds:schemaRef ds:uri="http://schemas.microsoft.com/sharepoint/v3/contenttype/forms"/>
  </ds:schemaRefs>
</ds:datastoreItem>
</file>

<file path=customXml/itemProps4.xml><?xml version="1.0" encoding="utf-8"?>
<ds:datastoreItem xmlns:ds="http://schemas.openxmlformats.org/officeDocument/2006/customXml" ds:itemID="{DDC548E9-AF34-4877-9C6C-E2D39D76457E}">
  <ds:schemaRefs>
    <ds:schemaRef ds:uri="http://schemas.microsoft.com/office/2006/metadata/properties"/>
    <ds:schemaRef ds:uri="http://schemas.microsoft.com/office/infopath/2007/PartnerControls"/>
    <ds:schemaRef ds:uri="f98be5f7-c26b-40b1-8165-6f48d908995f"/>
    <ds:schemaRef ds:uri="66bd60ff-9289-488e-8b38-68681f307e9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490</Words>
  <Characters>2993</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Bonnen Sandholdt</dc:creator>
  <cp:keywords/>
  <dc:description/>
  <cp:lastModifiedBy>Flemming Bornemann - FBO</cp:lastModifiedBy>
  <cp:revision>2</cp:revision>
  <cp:lastPrinted>2024-10-14T08:18:00Z</cp:lastPrinted>
  <dcterms:created xsi:type="dcterms:W3CDTF">2025-03-20T06:39:00Z</dcterms:created>
  <dcterms:modified xsi:type="dcterms:W3CDTF">2025-03-20T06:39:00Z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0x0101002618EA43472D24449C06B0068A65CFA5</vt:lpwstr>
  </property>
</Properties>
</file>